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259AE4" w14:textId="298863D5" w:rsidR="00DD2191" w:rsidRPr="00DD2191" w:rsidRDefault="0018462D" w:rsidP="00CE0EE5">
      <w:pPr>
        <w:widowControl w:val="0"/>
        <w:spacing w:line="360" w:lineRule="auto"/>
        <w:ind w:left="709" w:firstLine="709"/>
        <w:jc w:val="center"/>
        <w:rPr>
          <w:rFonts w:ascii="Garamond" w:hAnsi="Garamond"/>
          <w:b/>
          <w:sz w:val="24"/>
          <w:szCs w:val="24"/>
        </w:rPr>
      </w:pPr>
      <w:r w:rsidRPr="002C124E">
        <w:rPr>
          <w:rFonts w:ascii="Garamond" w:hAnsi="Garamond"/>
          <w:noProof/>
        </w:rPr>
        <mc:AlternateContent>
          <mc:Choice Requires="wps">
            <w:drawing>
              <wp:anchor distT="0" distB="0" distL="114300" distR="114300" simplePos="0" relativeHeight="251657728" behindDoc="0" locked="0" layoutInCell="1" allowOverlap="1" wp14:anchorId="48A70866" wp14:editId="3834BD1B">
                <wp:simplePos x="0" y="0"/>
                <wp:positionH relativeFrom="column">
                  <wp:posOffset>419735</wp:posOffset>
                </wp:positionH>
                <wp:positionV relativeFrom="paragraph">
                  <wp:posOffset>171450</wp:posOffset>
                </wp:positionV>
                <wp:extent cx="4343400" cy="0"/>
                <wp:effectExtent l="10160" t="8890" r="8890" b="10160"/>
                <wp:wrapNone/>
                <wp:docPr id="10977141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54AA23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13.5pt" to="375.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" strokeweight=".26mm">
                <v:stroke joinstyle="miter"/>
              </v:line>
            </w:pict>
          </mc:Fallback>
        </mc:AlternateContent>
      </w:r>
      <w:r w:rsidR="00CE0EE5">
        <w:rPr>
          <w:rFonts w:ascii="Garamond" w:hAnsi="Garamond"/>
          <w:b/>
          <w:sz w:val="24"/>
          <w:szCs w:val="24"/>
        </w:rPr>
        <w:t>I</w:t>
      </w:r>
      <w:r w:rsidR="00DD2191" w:rsidRPr="00DD2191">
        <w:rPr>
          <w:rFonts w:ascii="Garamond" w:hAnsi="Garamond"/>
          <w:b/>
          <w:sz w:val="24"/>
          <w:szCs w:val="24"/>
        </w:rPr>
        <w:t>NFORMATIVA PER IL DEBITORE</w:t>
      </w:r>
    </w:p>
    <w:p w14:paraId="130CE3FF" w14:textId="77777777" w:rsidR="00DD2191" w:rsidRDefault="00DD2191" w:rsidP="00CE0EE5">
      <w:pPr>
        <w:widowControl w:val="0"/>
        <w:spacing w:line="360" w:lineRule="auto"/>
        <w:jc w:val="center"/>
        <w:rPr>
          <w:rFonts w:ascii="Garamond" w:hAnsi="Garamond"/>
          <w:bCs/>
          <w:sz w:val="24"/>
          <w:szCs w:val="24"/>
        </w:rPr>
      </w:pPr>
    </w:p>
    <w:p w14:paraId="6FB40FEA" w14:textId="55F78096"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 creditori hanno chiesto al Tribunale di vendere i beni immobili pignorati di sua proprietà, allo scopo di pagare, con il ricavato tutti i suoi debiti.</w:t>
      </w:r>
    </w:p>
    <w:p w14:paraId="69D38435" w14:textId="61C49F79"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La procedura di vendita è stata assegnata al Giudice dell’esecuzione Dott._________________ ed iscritta al n. ________________R.</w:t>
      </w:r>
      <w:r w:rsidR="00E16211">
        <w:rPr>
          <w:rFonts w:ascii="Garamond" w:hAnsi="Garamond"/>
          <w:bCs/>
          <w:sz w:val="24"/>
          <w:szCs w:val="24"/>
        </w:rPr>
        <w:t>G.E.I.</w:t>
      </w:r>
      <w:r w:rsidRPr="00DD2191">
        <w:rPr>
          <w:rFonts w:ascii="Garamond" w:hAnsi="Garamond"/>
          <w:bCs/>
          <w:sz w:val="24"/>
          <w:szCs w:val="24"/>
        </w:rPr>
        <w:t xml:space="preserve"> Tribunale di </w:t>
      </w:r>
      <w:r w:rsidR="00583FCC">
        <w:rPr>
          <w:rFonts w:ascii="Garamond" w:hAnsi="Garamond"/>
          <w:bCs/>
          <w:sz w:val="24"/>
          <w:szCs w:val="24"/>
        </w:rPr>
        <w:t>Livorno</w:t>
      </w:r>
      <w:r w:rsidRPr="00DD2191">
        <w:rPr>
          <w:rFonts w:ascii="Garamond" w:hAnsi="Garamond"/>
          <w:bCs/>
          <w:sz w:val="24"/>
          <w:szCs w:val="24"/>
        </w:rPr>
        <w:t>.</w:t>
      </w:r>
    </w:p>
    <w:p w14:paraId="7283DD5C"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COSA ACCADRÀ ORA:</w:t>
      </w:r>
    </w:p>
    <w:p w14:paraId="47D01925" w14:textId="69C61330"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Il Giudice dell’esecuzione ha già nominato un custode e un esperto estimatore per valutare il suo immobile.</w:t>
      </w:r>
    </w:p>
    <w:p w14:paraId="15616AB3"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L’esperto farà un sopralluogo per effettuare i rilevamenti necessari ai fini della stima dell’immobile; una volta effettuata la stima, depositerà la sua relazione.</w:t>
      </w:r>
    </w:p>
    <w:p w14:paraId="554708BA"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Il Giudice dell’esecuzione ha già fissato per il giorno _____________ore ___________l’udienza per esaminare la relazione di stima ed in quella occasione sarà disposta la vendita dell’immobile, che avverrà orientativamente nei successivi 3/4 mesi.</w:t>
      </w:r>
    </w:p>
    <w:p w14:paraId="2126AE26"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COSA CONVIENE FARE:</w:t>
      </w:r>
    </w:p>
    <w:p w14:paraId="63F3B4D4" w14:textId="71DEEC2D"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È ancora possibile porre rimedio alla situazione sopra descritta, con l’ausilio di un Organismo di Composizione della Crisi</w:t>
      </w:r>
      <w:r w:rsidR="00E16211">
        <w:rPr>
          <w:rFonts w:ascii="Garamond" w:hAnsi="Garamond"/>
          <w:bCs/>
          <w:strike/>
          <w:sz w:val="24"/>
          <w:szCs w:val="24"/>
        </w:rPr>
        <w:t>,</w:t>
      </w:r>
      <w:r w:rsidRPr="00DD2191">
        <w:rPr>
          <w:rFonts w:ascii="Garamond" w:hAnsi="Garamond"/>
          <w:bCs/>
          <w:sz w:val="24"/>
          <w:szCs w:val="24"/>
        </w:rPr>
        <w:t xml:space="preserve"> concludendo </w:t>
      </w:r>
      <w:r w:rsidRPr="00E16211">
        <w:rPr>
          <w:rFonts w:ascii="Garamond" w:hAnsi="Garamond"/>
          <w:bCs/>
          <w:sz w:val="24"/>
          <w:szCs w:val="24"/>
        </w:rPr>
        <w:t xml:space="preserve">con tutti i creditori un accordo di composizione della crisi oppure proponendo agli stessi un piano </w:t>
      </w:r>
      <w:r w:rsidR="00E16211" w:rsidRPr="00E16211">
        <w:rPr>
          <w:rFonts w:ascii="Garamond" w:hAnsi="Garamond"/>
          <w:bCs/>
          <w:sz w:val="24"/>
          <w:szCs w:val="24"/>
        </w:rPr>
        <w:t>di ristrutturazione dei debiti del consumatore</w:t>
      </w:r>
      <w:r w:rsidRPr="00E16211">
        <w:rPr>
          <w:rFonts w:ascii="Garamond" w:hAnsi="Garamond"/>
          <w:bCs/>
          <w:sz w:val="24"/>
          <w:szCs w:val="24"/>
        </w:rPr>
        <w:t>, così come le è stato già indicato in atto di precetto</w:t>
      </w:r>
      <w:r w:rsidR="00E16211">
        <w:rPr>
          <w:rFonts w:ascii="Garamond" w:hAnsi="Garamond"/>
          <w:bCs/>
          <w:sz w:val="24"/>
          <w:szCs w:val="24"/>
        </w:rPr>
        <w:t>, secondo quanto previsto dal D.Lgs. n. 14/2019 (c.d. codice della crisi e dell’insolvenza dell’impresa</w:t>
      </w:r>
      <w:r w:rsidR="00E16211" w:rsidRPr="001C69BF">
        <w:rPr>
          <w:rFonts w:ascii="Garamond" w:hAnsi="Garamond"/>
          <w:bCs/>
          <w:sz w:val="24"/>
          <w:szCs w:val="24"/>
        </w:rPr>
        <w:t>)</w:t>
      </w:r>
      <w:r w:rsidR="001B65CC">
        <w:rPr>
          <w:rFonts w:ascii="Garamond" w:hAnsi="Garamond"/>
          <w:bCs/>
          <w:sz w:val="24"/>
          <w:szCs w:val="24"/>
        </w:rPr>
        <w:t>,</w:t>
      </w:r>
      <w:r w:rsidR="001C69BF" w:rsidRPr="001C69BF">
        <w:rPr>
          <w:rFonts w:ascii="Garamond" w:hAnsi="Garamond"/>
          <w:bCs/>
          <w:sz w:val="24"/>
          <w:szCs w:val="24"/>
        </w:rPr>
        <w:t xml:space="preserve"> o</w:t>
      </w:r>
      <w:r w:rsidR="001B65CC">
        <w:rPr>
          <w:rFonts w:ascii="Garamond" w:hAnsi="Garamond"/>
          <w:bCs/>
          <w:sz w:val="24"/>
          <w:szCs w:val="24"/>
        </w:rPr>
        <w:t xml:space="preserve">ppure </w:t>
      </w:r>
      <w:r w:rsidR="001C69BF" w:rsidRPr="001C69BF">
        <w:rPr>
          <w:rFonts w:ascii="Garamond" w:hAnsi="Garamond"/>
          <w:bCs/>
          <w:sz w:val="24"/>
          <w:szCs w:val="24"/>
        </w:rPr>
        <w:t>avvalendosi di uno strumento di risoluzione della crisi</w:t>
      </w:r>
      <w:r w:rsidR="001C69BF">
        <w:rPr>
          <w:rFonts w:ascii="Garamond" w:hAnsi="Garamond"/>
          <w:bCs/>
          <w:sz w:val="24"/>
          <w:szCs w:val="24"/>
        </w:rPr>
        <w:t xml:space="preserve"> e dell’insolvenza </w:t>
      </w:r>
      <w:r w:rsidR="001B65CC">
        <w:rPr>
          <w:rFonts w:ascii="Garamond" w:hAnsi="Garamond"/>
          <w:bCs/>
          <w:sz w:val="24"/>
          <w:szCs w:val="24"/>
        </w:rPr>
        <w:t>disciplinato</w:t>
      </w:r>
      <w:bookmarkStart w:id="0" w:name="_GoBack"/>
      <w:bookmarkEnd w:id="0"/>
      <w:r w:rsidR="001C69BF">
        <w:rPr>
          <w:rFonts w:ascii="Garamond" w:hAnsi="Garamond"/>
          <w:bCs/>
          <w:sz w:val="24"/>
          <w:szCs w:val="24"/>
        </w:rPr>
        <w:t xml:space="preserve"> nel D.Lgs. n. 14/2019</w:t>
      </w:r>
      <w:r w:rsidR="00B44DC1" w:rsidRPr="001C69BF">
        <w:rPr>
          <w:rFonts w:ascii="Garamond" w:hAnsi="Garamond"/>
          <w:bCs/>
          <w:sz w:val="24"/>
          <w:szCs w:val="24"/>
        </w:rPr>
        <w:t>.</w:t>
      </w:r>
    </w:p>
    <w:p w14:paraId="5040AD1F"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Se lei può pagare tutto, è possibile chiedere di farlo in 48 rate, a patto che si abbia la disponibilità di una somma da versare subito pari ad un sesto dei debiti.</w:t>
      </w:r>
    </w:p>
    <w:p w14:paraId="5C3E5926" w14:textId="6D82A442"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 xml:space="preserve">Per avvalersi del procedimento indicato è necessario presentare al Giudice un’istanza (conversione del pignoramento ai sensi dell’art. 495 </w:t>
      </w:r>
      <w:r w:rsidR="00583FCC">
        <w:rPr>
          <w:rFonts w:ascii="Garamond" w:hAnsi="Garamond"/>
          <w:bCs/>
          <w:sz w:val="24"/>
          <w:szCs w:val="24"/>
        </w:rPr>
        <w:t>c.p.c.</w:t>
      </w:r>
      <w:r w:rsidRPr="00DD2191">
        <w:rPr>
          <w:rFonts w:ascii="Garamond" w:hAnsi="Garamond"/>
          <w:bCs/>
          <w:sz w:val="24"/>
          <w:szCs w:val="24"/>
        </w:rPr>
        <w:t>) corredata da un deposito di una somma pari ad un sesto del totale dei crediti vantati nei suoi confronti dal creditore procedente e dai creditori intervenuti.</w:t>
      </w:r>
    </w:p>
    <w:p w14:paraId="5EEEED4E"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Per maggiori particolari, è possibile chiedere informazioni al custode.</w:t>
      </w:r>
    </w:p>
    <w:p w14:paraId="0F12B5C3"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È però necessario che l’istanza di conversione sia presentata il più presto possibile.</w:t>
      </w:r>
    </w:p>
    <w:p w14:paraId="5BD3A6F2"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L’istanza di conversione è, infatti, inammissibile se presentata dopo che il Giudice abbia autorizzato la vendita del bene ovvero dopo la data sopraindicata.</w:t>
      </w:r>
    </w:p>
    <w:p w14:paraId="61B87917"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 xml:space="preserve">È poi in ogni caso conveniente pagare tempestivamente perché il credito vantato da ciascun creditore è destinato ad aumentare a causa degli interessi che maturano periodicamente e </w:t>
      </w:r>
      <w:r w:rsidRPr="00DD2191">
        <w:rPr>
          <w:rFonts w:ascii="Garamond" w:hAnsi="Garamond"/>
          <w:bCs/>
          <w:sz w:val="24"/>
          <w:szCs w:val="24"/>
        </w:rPr>
        <w:lastRenderedPageBreak/>
        <w:t>delle spese.</w:t>
      </w:r>
    </w:p>
    <w:p w14:paraId="7A18E289" w14:textId="2DB58458"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Inoltre, sono poste a suo carico anche le spese di procedura e degli avvocati dei creditori, che aumentano con il passare del tempo: è pertanto suo interesse attivarsi subito.</w:t>
      </w:r>
    </w:p>
    <w:p w14:paraId="27B78DD1"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Ad esempio, se riesce a proporre l’istanza di conversione prima che il perito faccia la perizia, risparmierà il compenso al professionista; se evita la fissazione della vendita, risparmierà le spese di pubblicità oltre agli onorari degli avvocati.</w:t>
      </w:r>
    </w:p>
    <w:p w14:paraId="47C86211"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Sono a suo carico, infatti, in primo luogo, le spese relative allo svolgimento della procedura e, in secondo luogo, le spese legali sostenute da ciascuno dei creditori.</w:t>
      </w:r>
    </w:p>
    <w:p w14:paraId="6D670987"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Per maggiori particolari, è possibile chiedere informazioni al custode.</w:t>
      </w:r>
    </w:p>
    <w:p w14:paraId="24E57AB4"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Se lei è in grado di pagare solo una parte dei suoi debiti, è necessario proporre – a tutti i creditori che partecipano alla vendita – un accordo, secondo le sue possibilità. Un accordo potrebbe prevedere ad esempio una riduzione del capitale e/o degli interessi, in misura varia (e che dipende da molteplici fattori: valore del bene pignorato, serietà della proposta, tempi di pagamento ecc.), ed anche una dilazione nei pagamenti.</w:t>
      </w:r>
    </w:p>
    <w:p w14:paraId="475E054D" w14:textId="1F9ED405"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Qualsiasi trattativa deve essere condotta con tutti i creditori che partecipano alla procedura</w:t>
      </w:r>
      <w:r w:rsidR="00583FCC">
        <w:rPr>
          <w:rFonts w:ascii="Garamond" w:hAnsi="Garamond"/>
          <w:bCs/>
          <w:sz w:val="24"/>
          <w:szCs w:val="24"/>
        </w:rPr>
        <w:t>.</w:t>
      </w:r>
    </w:p>
    <w:p w14:paraId="7CFE2FB7"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Per i motivi già illustrati è consigliabile che anche le proposte transattive siano fatte ai creditori il più presto possibile.</w:t>
      </w:r>
    </w:p>
    <w:p w14:paraId="3E796A07"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Se non è in grado di pagare nulla, è ben possibile che cerchi lei un acquirente, privatamente.</w:t>
      </w:r>
    </w:p>
    <w:p w14:paraId="52E573C5"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L’esistenza del pignoramento non impedisce, infatti, la vendita dell’immobile da parte sua purché vi sia il consenso dei creditori ai quali sarà versato il ricavato della vendita, nei limiti del loro credito. In questo caso i creditori contestualmente all’incasso delle somme autorizzeranno la cancellazione delle eventuali ipoteche e del pignoramento.</w:t>
      </w:r>
    </w:p>
    <w:p w14:paraId="31B2597F" w14:textId="77777777" w:rsidR="00583FCC"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 xml:space="preserve">La soluzione di trovare un acquirente “privato” è preferibile soprattutto se il valore degli immobili è superiore al valore dei debiti. Se infatti, una volta venduto l’immobile e pagati i creditori, residua parte del prezzo, essa spetterà a lei: e tale parte sarà tanto maggiore tanto più si sarà venduto il bene ad un buon prezzo. </w:t>
      </w:r>
    </w:p>
    <w:p w14:paraId="4526F1D1" w14:textId="77777777" w:rsidR="00583FCC"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 xml:space="preserve">VENDITA DIRETTA </w:t>
      </w:r>
    </w:p>
    <w:p w14:paraId="1C0D16C1" w14:textId="77777777" w:rsidR="00E11177"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Per le procedure introdotte dopo il 28 febbraio 2023, è stata introdotta anche apposita procedura dagli art.</w:t>
      </w:r>
      <w:r w:rsidR="00E11177">
        <w:rPr>
          <w:rFonts w:ascii="Garamond" w:hAnsi="Garamond"/>
          <w:bCs/>
          <w:sz w:val="24"/>
          <w:szCs w:val="24"/>
        </w:rPr>
        <w:t xml:space="preserve"> </w:t>
      </w:r>
      <w:r w:rsidRPr="00DD2191">
        <w:rPr>
          <w:rFonts w:ascii="Garamond" w:hAnsi="Garamond"/>
          <w:bCs/>
          <w:sz w:val="24"/>
          <w:szCs w:val="24"/>
        </w:rPr>
        <w:t>568</w:t>
      </w:r>
      <w:r w:rsidR="00E11177">
        <w:rPr>
          <w:rFonts w:ascii="Garamond" w:hAnsi="Garamond"/>
          <w:bCs/>
          <w:sz w:val="24"/>
          <w:szCs w:val="24"/>
        </w:rPr>
        <w:t>-</w:t>
      </w:r>
      <w:r w:rsidRPr="00DD2191">
        <w:rPr>
          <w:rFonts w:ascii="Garamond" w:hAnsi="Garamond"/>
          <w:bCs/>
          <w:sz w:val="24"/>
          <w:szCs w:val="24"/>
        </w:rPr>
        <w:t>bis c.p.c. e 569</w:t>
      </w:r>
      <w:r w:rsidR="00E11177">
        <w:rPr>
          <w:rFonts w:ascii="Garamond" w:hAnsi="Garamond"/>
          <w:bCs/>
          <w:sz w:val="24"/>
          <w:szCs w:val="24"/>
        </w:rPr>
        <w:t>-</w:t>
      </w:r>
      <w:r w:rsidRPr="00DD2191">
        <w:rPr>
          <w:rFonts w:ascii="Garamond" w:hAnsi="Garamond"/>
          <w:bCs/>
          <w:sz w:val="24"/>
          <w:szCs w:val="24"/>
        </w:rPr>
        <w:t xml:space="preserve">bis c.p.c. con cui il debitore, non oltre dieci giorni prima dell’udienza fissata, può chiedere al Giudice la vendita diretta alle condizioni e nei modi indicati dalla norma menzionata. </w:t>
      </w:r>
    </w:p>
    <w:p w14:paraId="775DD4CA" w14:textId="7CB08C8E"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Il/i debitore/i che può chiedere, non oltre dieci giorni prima dell’udienza fissata con presente decreto ex art. 569 c.p.c. (ovvero di quella successiva a cui la procedura sarà eventualmente rinviata in conseguenza della proroga ottenuta dall’esperto stimator</w:t>
      </w:r>
      <w:r w:rsidR="00583FCC">
        <w:rPr>
          <w:rFonts w:ascii="Garamond" w:hAnsi="Garamond"/>
          <w:bCs/>
          <w:sz w:val="24"/>
          <w:szCs w:val="24"/>
        </w:rPr>
        <w:t xml:space="preserve">e </w:t>
      </w:r>
      <w:r w:rsidRPr="00DD2191">
        <w:rPr>
          <w:rFonts w:ascii="Garamond" w:hAnsi="Garamond"/>
          <w:bCs/>
          <w:sz w:val="24"/>
          <w:szCs w:val="24"/>
        </w:rPr>
        <w:t xml:space="preserve">e/o, su richiesta della parte esecutata, in conseguenza del mancato rispetto dei termini per la comunicazione alle </w:t>
      </w:r>
      <w:r w:rsidRPr="00DD2191">
        <w:rPr>
          <w:rFonts w:ascii="Garamond" w:hAnsi="Garamond"/>
          <w:bCs/>
          <w:sz w:val="24"/>
          <w:szCs w:val="24"/>
        </w:rPr>
        <w:lastRenderedPageBreak/>
        <w:t>parti e per il deposito dell’elaborato di stima di cui all’art. 173-bis, comma 3 disp. att. c.p.c.), al Giudice di disporre la vendita diretta alle condizioni e nei modi indicati dall’art. 568-bis c.p.c., a pena di inammissibilità, depositando istanza – per uno o più lotti - unitamente alle/a offerta/e di acquisto (una per ogni lotto); la cauzione, pari almeno al 10% del prezzo offerto, deve essere corrisposta a mezzo bonifico bancario sul conto della procedura. L'istanza e l'offerta devono essere notificate a cura dell'offerente o del debitore almeno cinque giorni prima dell'udienza prevista dall'art. 569 c.p.c., al creditore procedente, ai creditori di cui all'art. 498 e a quelli intervenuti prima del deposito dell'offerta medesima.</w:t>
      </w:r>
    </w:p>
    <w:p w14:paraId="65B94982"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IN OGNI CASO:</w:t>
      </w:r>
    </w:p>
    <w:p w14:paraId="1045F172" w14:textId="6A7CAA82"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È previsto dall’art. 624</w:t>
      </w:r>
      <w:r w:rsidR="00583FCC">
        <w:rPr>
          <w:rFonts w:ascii="Garamond" w:hAnsi="Garamond"/>
          <w:bCs/>
          <w:sz w:val="24"/>
          <w:szCs w:val="24"/>
        </w:rPr>
        <w:t>-</w:t>
      </w:r>
      <w:r w:rsidRPr="00DD2191">
        <w:rPr>
          <w:rFonts w:ascii="Garamond" w:hAnsi="Garamond"/>
          <w:bCs/>
          <w:sz w:val="24"/>
          <w:szCs w:val="24"/>
        </w:rPr>
        <w:t xml:space="preserve">bis </w:t>
      </w:r>
      <w:r w:rsidR="00E11177">
        <w:rPr>
          <w:rFonts w:ascii="Garamond" w:hAnsi="Garamond"/>
          <w:bCs/>
          <w:sz w:val="24"/>
          <w:szCs w:val="24"/>
        </w:rPr>
        <w:t>c.p.c.</w:t>
      </w:r>
      <w:r w:rsidRPr="00DD2191">
        <w:rPr>
          <w:rFonts w:ascii="Garamond" w:hAnsi="Garamond"/>
          <w:bCs/>
          <w:sz w:val="24"/>
          <w:szCs w:val="24"/>
        </w:rPr>
        <w:t xml:space="preserve"> che, su richiesta di tutti i creditori muniti di titolo esecutivo (provvedimento del Giudice, atto di notaio o titolo di credito, come cambiale o assegno, per esempio), il processo, sentito il parere del debitore, possa essere sospeso fino ad un tempo massimo di ventiquattro mesi. Si tratta di una sospensione che può essere disposta una sola volta (anche se concessa per un tempo inferiore a quello massimo di due anni) e la relativa richiesta può essere proposta soltanto fino a venti giorni prima della scadenza del termine per il deposito delle offerte di acquisto o, dopo la data fissata per la vendita senza incanto, se questa non abbia avuto luogo e si debba procedere all’incanto, soltanto fino a quindici giorni prima dell’incanto.</w:t>
      </w:r>
    </w:p>
    <w:p w14:paraId="664C677F"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Nel caso in cui la sospensione venga disposta dopo che è stata eseguita la pubblicità per la vendita, le spese sono maggiori ed aumentano anche perché va pubblicato sul sito Internet il provvedimento di sospensione.</w:t>
      </w:r>
    </w:p>
    <w:p w14:paraId="1C2B5F1C"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Tuttavia, è necessario il consenso di tutti i creditori poiché se un solo creditore munito di titolo esecutivo si oppone alla sospensione concordata ovvero ne chiede, in qualsiasi momento, la revoca la procedura deve proseguire.</w:t>
      </w:r>
    </w:p>
    <w:p w14:paraId="46EC8532"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AVVERTENZA SU RESIDENZA O DOMICILIO:</w:t>
      </w:r>
    </w:p>
    <w:p w14:paraId="7ABEA8B3" w14:textId="7DE83FBA"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 xml:space="preserve">Se non lo ha già fatto, a seguito dell’invito contenuto nell’atto di pignoramento, il debitore deve effettuare presso la cancelleria del Giudice dell’esecuzione </w:t>
      </w:r>
      <w:r w:rsidR="00583FCC">
        <w:rPr>
          <w:rFonts w:ascii="Garamond" w:hAnsi="Garamond"/>
          <w:bCs/>
          <w:sz w:val="24"/>
          <w:szCs w:val="24"/>
        </w:rPr>
        <w:t>del Tribunale di Livorno</w:t>
      </w:r>
      <w:r w:rsidRPr="00DD2191">
        <w:rPr>
          <w:rFonts w:ascii="Garamond" w:hAnsi="Garamond"/>
          <w:bCs/>
          <w:sz w:val="24"/>
          <w:szCs w:val="24"/>
        </w:rPr>
        <w:t xml:space="preserve"> la dichiarazione di residenza o l’elezione di domicilio in uno dei comuni del circondario del Tribunale di </w:t>
      </w:r>
      <w:r w:rsidR="00583FCC">
        <w:rPr>
          <w:rFonts w:ascii="Garamond" w:hAnsi="Garamond"/>
          <w:bCs/>
          <w:sz w:val="24"/>
          <w:szCs w:val="24"/>
        </w:rPr>
        <w:t>Livorno</w:t>
      </w:r>
      <w:r w:rsidRPr="00DD2191">
        <w:rPr>
          <w:rFonts w:ascii="Garamond" w:hAnsi="Garamond"/>
          <w:bCs/>
          <w:sz w:val="24"/>
          <w:szCs w:val="24"/>
        </w:rPr>
        <w:t>.</w:t>
      </w:r>
    </w:p>
    <w:p w14:paraId="7F5ADD8D"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In mancanza della dichiarazione di residenza o della elezione di domicilio tutti gli atti e gli avvisi diretti al debitore saranno comunicati presso la cancelleria.</w:t>
      </w:r>
    </w:p>
    <w:p w14:paraId="5BF2543F"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Di questi avvisi, pertanto, potrebbe non avere mai effettiva conoscenza e la procedura potrebbe concludersi validamente nei suoi confronti senza che lei ne abbia saputo nulla.</w:t>
      </w:r>
    </w:p>
    <w:p w14:paraId="4F881768" w14:textId="41EEA963"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Si rammenta, ancora, che l</w:t>
      </w:r>
      <w:r w:rsidR="00583FCC">
        <w:rPr>
          <w:rFonts w:ascii="Garamond" w:hAnsi="Garamond"/>
          <w:bCs/>
          <w:sz w:val="24"/>
          <w:szCs w:val="24"/>
        </w:rPr>
        <w:t>’</w:t>
      </w:r>
      <w:r w:rsidRPr="00DD2191">
        <w:rPr>
          <w:rFonts w:ascii="Garamond" w:hAnsi="Garamond"/>
          <w:bCs/>
          <w:sz w:val="24"/>
          <w:szCs w:val="24"/>
        </w:rPr>
        <w:t>opposizione alla esecuzione può essere proposta esclusivamente prima che sia disposta la vendita o l’assegnazione quando si intenda</w:t>
      </w:r>
      <w:r w:rsidR="00E11177">
        <w:rPr>
          <w:rFonts w:ascii="Garamond" w:hAnsi="Garamond"/>
          <w:bCs/>
          <w:sz w:val="24"/>
          <w:szCs w:val="24"/>
        </w:rPr>
        <w:t xml:space="preserve"> </w:t>
      </w:r>
      <w:r w:rsidRPr="00DD2191">
        <w:rPr>
          <w:rFonts w:ascii="Garamond" w:hAnsi="Garamond"/>
          <w:bCs/>
          <w:sz w:val="24"/>
          <w:szCs w:val="24"/>
        </w:rPr>
        <w:t xml:space="preserve">contestare la </w:t>
      </w:r>
      <w:r w:rsidRPr="00DD2191">
        <w:rPr>
          <w:rFonts w:ascii="Garamond" w:hAnsi="Garamond"/>
          <w:bCs/>
          <w:sz w:val="24"/>
          <w:szCs w:val="24"/>
        </w:rPr>
        <w:lastRenderedPageBreak/>
        <w:t>impignorabilità dei beni ovvero lamentare la insussistenza del diritto dei creditori a procedere esecutivamente in relazione a fatti già verificatisi alla data di emanazione delle ordinanze di vendita ovvero di assegnazione (ad esempio pagamento del debito ovvero caducazione per fatto sopravvenuto del titolo esecutivo).</w:t>
      </w:r>
    </w:p>
    <w:p w14:paraId="32F6D6E9"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RUOLO DEL CUSTODE E DOVERI DELL’OCCUPANTE L’IMMOBILE:</w:t>
      </w:r>
    </w:p>
    <w:p w14:paraId="429F7239"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Il Giudice dell’esecuzione ha nominato il custode dell’immobile, che risulta dal provvedimento di nomina che è stato notificato.</w:t>
      </w:r>
    </w:p>
    <w:p w14:paraId="79EDDCC7"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Il custode giudiziario deve effettuare un primo accesso presso l’immobile pignorato e verificare se il bene è occupato dal debitore esecutato ovvero da terzi.</w:t>
      </w:r>
    </w:p>
    <w:p w14:paraId="353BC9F6"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Tra i compiti del custode, che le verranno dallo stesso illustrati, vi è anche quello di informarla dello stato del processo esecutivo che si svolge in suo danno nonché dei doveri dell’occupante dell’immobile, che vengono qui di seguito precisati:</w:t>
      </w:r>
    </w:p>
    <w:p w14:paraId="41372ADC" w14:textId="686CF72F" w:rsidR="00DD2191" w:rsidRPr="00DD2191" w:rsidRDefault="00583FCC" w:rsidP="00DD2191">
      <w:pPr>
        <w:widowControl w:val="0"/>
        <w:spacing w:line="360" w:lineRule="auto"/>
        <w:jc w:val="both"/>
        <w:rPr>
          <w:rFonts w:ascii="Garamond" w:hAnsi="Garamond"/>
          <w:bCs/>
          <w:sz w:val="24"/>
          <w:szCs w:val="24"/>
        </w:rPr>
      </w:pPr>
      <w:r>
        <w:rPr>
          <w:rFonts w:ascii="Garamond" w:hAnsi="Garamond"/>
          <w:bCs/>
          <w:sz w:val="24"/>
          <w:szCs w:val="24"/>
        </w:rPr>
        <w:t xml:space="preserve">- </w:t>
      </w:r>
      <w:r w:rsidR="00DD2191" w:rsidRPr="00DD2191">
        <w:rPr>
          <w:rFonts w:ascii="Garamond" w:hAnsi="Garamond"/>
          <w:bCs/>
          <w:sz w:val="24"/>
          <w:szCs w:val="24"/>
        </w:rPr>
        <w:t>l’occupante è divenuto “mero detentore” dell’unità immobiliare pignorata e, nel caso si tratti della parte esecutata, potrà continuare ad abitarla alle condizioni previste dall’art. 560 c.p.c.;</w:t>
      </w:r>
    </w:p>
    <w:p w14:paraId="0D40A4D7" w14:textId="21582115"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w:t>
      </w:r>
      <w:r w:rsidR="00583FCC">
        <w:rPr>
          <w:rFonts w:ascii="Garamond" w:hAnsi="Garamond"/>
          <w:bCs/>
          <w:sz w:val="24"/>
          <w:szCs w:val="24"/>
        </w:rPr>
        <w:t xml:space="preserve"> </w:t>
      </w:r>
      <w:r w:rsidRPr="00DD2191">
        <w:rPr>
          <w:rFonts w:ascii="Garamond" w:hAnsi="Garamond"/>
          <w:bCs/>
          <w:sz w:val="24"/>
          <w:szCs w:val="24"/>
        </w:rPr>
        <w:t>l’occupante deve consentire i sopralluoghi dell’esperto estimatore anche all’interno dell’immobile;</w:t>
      </w:r>
    </w:p>
    <w:p w14:paraId="24D1AA48" w14:textId="2AF8D48E"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w:t>
      </w:r>
      <w:r w:rsidR="00583FCC">
        <w:rPr>
          <w:rFonts w:ascii="Garamond" w:hAnsi="Garamond"/>
          <w:bCs/>
          <w:sz w:val="24"/>
          <w:szCs w:val="24"/>
        </w:rPr>
        <w:t xml:space="preserve"> </w:t>
      </w:r>
      <w:r w:rsidRPr="00DD2191">
        <w:rPr>
          <w:rFonts w:ascii="Garamond" w:hAnsi="Garamond"/>
          <w:bCs/>
          <w:sz w:val="24"/>
          <w:szCs w:val="24"/>
        </w:rPr>
        <w:t>l’occupante non deve in alcun modo ostacolare o comunque rendere difficoltosa l’attività del custode;</w:t>
      </w:r>
    </w:p>
    <w:p w14:paraId="7C05115C" w14:textId="234ECF2A"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w:t>
      </w:r>
      <w:r w:rsidR="00583FCC">
        <w:rPr>
          <w:rFonts w:ascii="Garamond" w:hAnsi="Garamond"/>
          <w:bCs/>
          <w:sz w:val="24"/>
          <w:szCs w:val="24"/>
        </w:rPr>
        <w:t xml:space="preserve"> </w:t>
      </w:r>
      <w:r w:rsidRPr="00DD2191">
        <w:rPr>
          <w:rFonts w:ascii="Garamond" w:hAnsi="Garamond"/>
          <w:bCs/>
          <w:sz w:val="24"/>
          <w:szCs w:val="24"/>
        </w:rPr>
        <w:t>nei giorni preventivamente concordati con il custode l’occupante deve farsi trovare in casa (o presso il bene in vendita) per consentirne la visita da parte dei terzi interessati all’acquisto del bene accompagnati dal custode (o da suo ausiliario);</w:t>
      </w:r>
    </w:p>
    <w:p w14:paraId="3A0F2BF1" w14:textId="1B79AAD8"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w:t>
      </w:r>
      <w:r w:rsidR="00583FCC">
        <w:rPr>
          <w:rFonts w:ascii="Garamond" w:hAnsi="Garamond"/>
          <w:bCs/>
          <w:sz w:val="24"/>
          <w:szCs w:val="24"/>
        </w:rPr>
        <w:t xml:space="preserve"> </w:t>
      </w:r>
      <w:r w:rsidRPr="00DD2191">
        <w:rPr>
          <w:rFonts w:ascii="Garamond" w:hAnsi="Garamond"/>
          <w:bCs/>
          <w:sz w:val="24"/>
          <w:szCs w:val="24"/>
        </w:rPr>
        <w:t>la parte esecutata deve provvedere al regolare pagamento delle spese condominiali nelle more della procedura ed astenersi dal percepire i frutti e le rendite del bene, che saranno invece acquisiti dalla procedura;</w:t>
      </w:r>
    </w:p>
    <w:p w14:paraId="1D937360" w14:textId="656F6479"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w:t>
      </w:r>
      <w:r w:rsidR="00583FCC">
        <w:rPr>
          <w:rFonts w:ascii="Garamond" w:hAnsi="Garamond"/>
          <w:bCs/>
          <w:sz w:val="24"/>
          <w:szCs w:val="24"/>
        </w:rPr>
        <w:t xml:space="preserve"> </w:t>
      </w:r>
      <w:r w:rsidRPr="00DD2191">
        <w:rPr>
          <w:rFonts w:ascii="Garamond" w:hAnsi="Garamond"/>
          <w:bCs/>
          <w:sz w:val="24"/>
          <w:szCs w:val="24"/>
        </w:rPr>
        <w:t>in caso di mancata collaborazione o di mancato pagamento delle spese condominiali o di inadeguata conservazione del bene pignorato, o, come già detto, nel caso in cui vi sarà qualsiasi comportamento ostruzionistico il giudice potrà ordinare l’immediata liberazione del bene nei confronti della parte esecutata o dell’occupante senza titolo.</w:t>
      </w:r>
    </w:p>
    <w:p w14:paraId="3CBDE1B2"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Si precisa che per occupante si intende chiunque utilizzi l’immobile e, dunque, non solo l’esecutato e i suoi familiari, ma qualunque altro soggetto, indipendentemente dal rapporto che intercorre tra questo ed il debitore. Il debitore esecutato potrà chiedere al custode qualsiasi ulteriore informazione.</w:t>
      </w:r>
    </w:p>
    <w:p w14:paraId="5B884FDD"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RILASCIO DELL’IMMOBILE</w:t>
      </w:r>
    </w:p>
    <w:p w14:paraId="176CC833"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Immobili ad uso abitativo</w:t>
      </w:r>
    </w:p>
    <w:p w14:paraId="78AC4EFD" w14:textId="19BF63D6"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lastRenderedPageBreak/>
        <w:t>Se l’immobile non è abitato dal debitore e dal suo nucleo familiare ovvero è occupato da soggetto privo di titolo opponibile alla procedura, all’udienza fissata il Giudice dell’Esecuzione, contestualmente all’ordinanza di vendita, emetterà l’ordine di</w:t>
      </w:r>
      <w:r w:rsidR="00583FCC">
        <w:rPr>
          <w:rFonts w:ascii="Garamond" w:hAnsi="Garamond"/>
          <w:bCs/>
          <w:sz w:val="24"/>
          <w:szCs w:val="24"/>
        </w:rPr>
        <w:t xml:space="preserve"> </w:t>
      </w:r>
      <w:r w:rsidRPr="00DD2191">
        <w:rPr>
          <w:rFonts w:ascii="Garamond" w:hAnsi="Garamond"/>
          <w:bCs/>
          <w:sz w:val="24"/>
          <w:szCs w:val="24"/>
        </w:rPr>
        <w:t>liberazione dell’immobile che il custode giudiziario dovrà mettere in esecuzione con il conseguente rilascio del bene da parte del debitore.</w:t>
      </w:r>
    </w:p>
    <w:p w14:paraId="055F4955"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Se l’immobile è occupato dal debitore e dal suo nucleo familiare, lo stesso potrà continuare ad abitare nel compendio pignorato sino al decreto di trasferimento a condizione che consenta l’accesso al custode ed all’esperto stimatore nonché ai potenziali acquirenti, e provveda a tutelare adeguatamente l’immobile e le sue pertinenze, mantenendolo in buono stato di conservazione e rispetti gli obblighi sullo stesso incombenti ordinaria manutenzione, riparazione danni, etc; in difetto il Giudice ne ordinerà la liberazione anche prima dell’emissione del decreto di trasferimento.</w:t>
      </w:r>
    </w:p>
    <w:p w14:paraId="338CFA73"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Immobili ad uso non abitativo</w:t>
      </w:r>
    </w:p>
    <w:p w14:paraId="4270ECF0"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Per le procedure esecutive aventi ad oggetto immobili diversi dall’abitazione il Giudice dell’esecuzione ordinerà invece la liberazione dell’immobile pignorato, di regola contestualmente all’ordinanza di vendita.</w:t>
      </w:r>
    </w:p>
    <w:p w14:paraId="55E36C2A" w14:textId="457F5553"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In ogni caso</w:t>
      </w:r>
      <w:r w:rsidR="00583FCC">
        <w:rPr>
          <w:rFonts w:ascii="Garamond" w:hAnsi="Garamond"/>
          <w:bCs/>
          <w:sz w:val="24"/>
          <w:szCs w:val="24"/>
        </w:rPr>
        <w:t xml:space="preserve"> i</w:t>
      </w:r>
      <w:r w:rsidRPr="00DD2191">
        <w:rPr>
          <w:rFonts w:ascii="Garamond" w:hAnsi="Garamond"/>
          <w:bCs/>
          <w:sz w:val="24"/>
          <w:szCs w:val="24"/>
        </w:rPr>
        <w:t>l provvedimento di liberazione dell’immobile sarà attuato dal custode giudiziario, anche mediante l’ausilio della forza pubblica.</w:t>
      </w:r>
    </w:p>
    <w:p w14:paraId="10B97016"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L’occupante, in vista della liberazione dell’immobile e, comunque, quando ne verrà estromesso dovrà sgomberarlo di tutti i mobili e i documenti che contiene nel termine assegnato dal custode; in difetto gli stessi saranno considerati abbandonati e perciò smaltiti o distrutti.</w:t>
      </w:r>
    </w:p>
    <w:p w14:paraId="350DBF5B"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AVVERTENZE PER I COMPROPRIETARI:</w:t>
      </w:r>
    </w:p>
    <w:p w14:paraId="6B72C4D9"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 creditori hanno chiesto di vendere la parte dell’immobile di proprietà del debitore, allo scopo di pagare, con il ricavato, i debiti.</w:t>
      </w:r>
    </w:p>
    <w:p w14:paraId="2CF69AEA"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Anche se voi comproprietari non siete debitori, il Tribunale può vendere tutto l’immobile (e quindi anche la vostra quota).</w:t>
      </w:r>
    </w:p>
    <w:p w14:paraId="0BA1D402"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Se siete in grado di acquistare la quota del debitore, fatelo presente al Giudice o al custode.</w:t>
      </w:r>
    </w:p>
    <w:p w14:paraId="5A4F11C3" w14:textId="31310C42"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In tal caso, si potrà procedere allo scioglimento della comunione</w:t>
      </w:r>
      <w:r w:rsidR="00583FCC">
        <w:rPr>
          <w:rFonts w:ascii="Garamond" w:hAnsi="Garamond"/>
          <w:bCs/>
          <w:sz w:val="24"/>
          <w:szCs w:val="24"/>
        </w:rPr>
        <w:t xml:space="preserve">; </w:t>
      </w:r>
      <w:r w:rsidRPr="00DD2191">
        <w:rPr>
          <w:rFonts w:ascii="Garamond" w:hAnsi="Garamond"/>
          <w:bCs/>
          <w:sz w:val="24"/>
          <w:szCs w:val="24"/>
        </w:rPr>
        <w:t>la somma versata per l’acquisto della quota si sostituirà alla quota pignorata ed il bene verrà attribuito per intero ad uno o più dei comproprietari, diversi dal debitore, che ne abbiano fatto richiesta e pagato la quota.</w:t>
      </w:r>
    </w:p>
    <w:p w14:paraId="26695928" w14:textId="77777777" w:rsidR="00DD2191" w:rsidRPr="00DD2191"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L’altra soluzione per evitare la vendita è che raggiungiate un accordo con i creditori pagando i debiti per conto dell’esecutato.</w:t>
      </w:r>
    </w:p>
    <w:p w14:paraId="2D08E0DB" w14:textId="328E1BEA" w:rsidR="001F1DE5" w:rsidRPr="002C124E" w:rsidRDefault="00DD2191" w:rsidP="00DD2191">
      <w:pPr>
        <w:widowControl w:val="0"/>
        <w:spacing w:line="360" w:lineRule="auto"/>
        <w:jc w:val="both"/>
        <w:rPr>
          <w:rFonts w:ascii="Garamond" w:hAnsi="Garamond"/>
          <w:bCs/>
          <w:sz w:val="24"/>
          <w:szCs w:val="24"/>
        </w:rPr>
      </w:pPr>
      <w:r w:rsidRPr="00DD2191">
        <w:rPr>
          <w:rFonts w:ascii="Garamond" w:hAnsi="Garamond"/>
          <w:bCs/>
          <w:sz w:val="24"/>
          <w:szCs w:val="24"/>
        </w:rPr>
        <w:t>Maggiori informazioni potranno essere chieste al custode nominato.</w:t>
      </w:r>
    </w:p>
    <w:sectPr w:rsidR="001F1DE5" w:rsidRPr="002C124E" w:rsidSect="001C69BF">
      <w:headerReference w:type="default" r:id="rId7"/>
      <w:footerReference w:type="default" r:id="rId8"/>
      <w:footnotePr>
        <w:pos w:val="beneathText"/>
      </w:footnotePr>
      <w:pgSz w:w="11905" w:h="16837"/>
      <w:pgMar w:top="568" w:right="1415" w:bottom="851" w:left="19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F1CE4" w14:textId="77777777" w:rsidR="00560B45" w:rsidRDefault="00560B45" w:rsidP="000A493A">
      <w:r>
        <w:separator/>
      </w:r>
    </w:p>
  </w:endnote>
  <w:endnote w:type="continuationSeparator" w:id="0">
    <w:p w14:paraId="2CA78CCA" w14:textId="77777777" w:rsidR="00560B45" w:rsidRDefault="00560B45" w:rsidP="000A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quare721 BT">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92577731"/>
      <w:docPartObj>
        <w:docPartGallery w:val="Page Numbers (Bottom of Page)"/>
        <w:docPartUnique/>
      </w:docPartObj>
    </w:sdtPr>
    <w:sdtEndPr/>
    <w:sdtContent>
      <w:sdt>
        <w:sdtPr>
          <w:rPr>
            <w:rFonts w:ascii="Garamond" w:hAnsi="Garamond"/>
            <w:sz w:val="22"/>
            <w:szCs w:val="22"/>
          </w:rPr>
          <w:id w:val="-1769616900"/>
          <w:docPartObj>
            <w:docPartGallery w:val="Page Numbers (Top of Page)"/>
            <w:docPartUnique/>
          </w:docPartObj>
        </w:sdtPr>
        <w:sdtEndPr/>
        <w:sdtContent>
          <w:p w14:paraId="67B83684" w14:textId="6ED82410" w:rsidR="005E7B93" w:rsidRPr="005E7B93" w:rsidRDefault="005E7B93" w:rsidP="005E7B93">
            <w:pPr>
              <w:pStyle w:val="Pidipagina"/>
              <w:jc w:val="right"/>
              <w:rPr>
                <w:rFonts w:ascii="Garamond" w:hAnsi="Garamond"/>
                <w:sz w:val="22"/>
                <w:szCs w:val="22"/>
              </w:rPr>
            </w:pPr>
            <w:r w:rsidRPr="005E7B93">
              <w:rPr>
                <w:rFonts w:ascii="Garamond" w:hAnsi="Garamond"/>
                <w:sz w:val="22"/>
                <w:szCs w:val="22"/>
              </w:rPr>
              <w:t xml:space="preserve">Pag. </w:t>
            </w:r>
            <w:r w:rsidRPr="005E7B93">
              <w:rPr>
                <w:rFonts w:ascii="Garamond" w:hAnsi="Garamond"/>
                <w:b/>
                <w:bCs/>
                <w:sz w:val="22"/>
                <w:szCs w:val="22"/>
              </w:rPr>
              <w:fldChar w:fldCharType="begin"/>
            </w:r>
            <w:r w:rsidRPr="005E7B93">
              <w:rPr>
                <w:rFonts w:ascii="Garamond" w:hAnsi="Garamond"/>
                <w:b/>
                <w:bCs/>
                <w:sz w:val="22"/>
                <w:szCs w:val="22"/>
              </w:rPr>
              <w:instrText>PAGE</w:instrText>
            </w:r>
            <w:r w:rsidRPr="005E7B93">
              <w:rPr>
                <w:rFonts w:ascii="Garamond" w:hAnsi="Garamond"/>
                <w:b/>
                <w:bCs/>
                <w:sz w:val="22"/>
                <w:szCs w:val="22"/>
              </w:rPr>
              <w:fldChar w:fldCharType="separate"/>
            </w:r>
            <w:r w:rsidRPr="005E7B93">
              <w:rPr>
                <w:rFonts w:ascii="Garamond" w:hAnsi="Garamond"/>
                <w:b/>
                <w:bCs/>
                <w:sz w:val="22"/>
                <w:szCs w:val="22"/>
              </w:rPr>
              <w:t>2</w:t>
            </w:r>
            <w:r w:rsidRPr="005E7B93">
              <w:rPr>
                <w:rFonts w:ascii="Garamond" w:hAnsi="Garamond"/>
                <w:b/>
                <w:bCs/>
                <w:sz w:val="22"/>
                <w:szCs w:val="22"/>
              </w:rPr>
              <w:fldChar w:fldCharType="end"/>
            </w:r>
            <w:r w:rsidRPr="005E7B93">
              <w:rPr>
                <w:rFonts w:ascii="Garamond" w:hAnsi="Garamond"/>
                <w:sz w:val="22"/>
                <w:szCs w:val="22"/>
              </w:rPr>
              <w:t xml:space="preserve"> a </w:t>
            </w:r>
            <w:r w:rsidRPr="005E7B93">
              <w:rPr>
                <w:rFonts w:ascii="Garamond" w:hAnsi="Garamond"/>
                <w:b/>
                <w:bCs/>
                <w:sz w:val="22"/>
                <w:szCs w:val="22"/>
              </w:rPr>
              <w:fldChar w:fldCharType="begin"/>
            </w:r>
            <w:r w:rsidRPr="005E7B93">
              <w:rPr>
                <w:rFonts w:ascii="Garamond" w:hAnsi="Garamond"/>
                <w:b/>
                <w:bCs/>
                <w:sz w:val="22"/>
                <w:szCs w:val="22"/>
              </w:rPr>
              <w:instrText>NUMPAGES</w:instrText>
            </w:r>
            <w:r w:rsidRPr="005E7B93">
              <w:rPr>
                <w:rFonts w:ascii="Garamond" w:hAnsi="Garamond"/>
                <w:b/>
                <w:bCs/>
                <w:sz w:val="22"/>
                <w:szCs w:val="22"/>
              </w:rPr>
              <w:fldChar w:fldCharType="separate"/>
            </w:r>
            <w:r w:rsidRPr="005E7B93">
              <w:rPr>
                <w:rFonts w:ascii="Garamond" w:hAnsi="Garamond"/>
                <w:b/>
                <w:bCs/>
                <w:sz w:val="22"/>
                <w:szCs w:val="22"/>
              </w:rPr>
              <w:t>2</w:t>
            </w:r>
            <w:r w:rsidRPr="005E7B93">
              <w:rPr>
                <w:rFonts w:ascii="Garamond" w:hAnsi="Garamond"/>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9E3D" w14:textId="77777777" w:rsidR="00560B45" w:rsidRDefault="00560B45" w:rsidP="000A493A">
      <w:r>
        <w:separator/>
      </w:r>
    </w:p>
  </w:footnote>
  <w:footnote w:type="continuationSeparator" w:id="0">
    <w:p w14:paraId="46527038" w14:textId="77777777" w:rsidR="00560B45" w:rsidRDefault="00560B45" w:rsidP="000A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E91A" w14:textId="6FD8AA2E" w:rsidR="00A81CEB" w:rsidRPr="002C124E" w:rsidRDefault="00DD2191">
    <w:pPr>
      <w:pStyle w:val="Intestazione"/>
      <w:rPr>
        <w:rFonts w:ascii="Garamond" w:hAnsi="Garamond"/>
        <w:b/>
        <w:bCs/>
        <w:smallCaps/>
        <w:sz w:val="22"/>
        <w:szCs w:val="22"/>
      </w:rPr>
    </w:pPr>
    <w:r>
      <w:rPr>
        <w:rFonts w:ascii="Garamond" w:hAnsi="Garamond"/>
        <w:b/>
        <w:bCs/>
        <w:smallCaps/>
        <w:sz w:val="22"/>
        <w:szCs w:val="22"/>
      </w:rPr>
      <w:t>Modello avviso al debitore</w:t>
    </w:r>
    <w:r w:rsidR="002C124E" w:rsidRPr="002C124E">
      <w:rPr>
        <w:rFonts w:ascii="Garamond" w:hAnsi="Garamond"/>
        <w:b/>
        <w:bCs/>
        <w:smallCaps/>
        <w:sz w:val="22"/>
        <w:szCs w:val="22"/>
      </w:rPr>
      <w:t xml:space="preserve"> (r</w:t>
    </w:r>
    <w:r w:rsidR="00A81CEB" w:rsidRPr="002C124E">
      <w:rPr>
        <w:rFonts w:ascii="Garamond" w:hAnsi="Garamond"/>
        <w:b/>
        <w:bCs/>
        <w:smallCaps/>
        <w:sz w:val="22"/>
        <w:szCs w:val="22"/>
      </w:rPr>
      <w:t>ev.202</w:t>
    </w:r>
    <w:r w:rsidR="002C124E" w:rsidRPr="002C124E">
      <w:rPr>
        <w:rFonts w:ascii="Garamond" w:hAnsi="Garamond"/>
        <w:b/>
        <w:bCs/>
        <w:smallCaps/>
        <w:sz w:val="22"/>
        <w:szCs w:val="22"/>
      </w:rPr>
      <w:t>6.0</w:t>
    </w:r>
    <w:r w:rsidR="00E16211">
      <w:rPr>
        <w:rFonts w:ascii="Garamond" w:hAnsi="Garamond"/>
        <w:b/>
        <w:bCs/>
        <w:smallCaps/>
        <w:sz w:val="22"/>
        <w:szCs w:val="22"/>
      </w:rPr>
      <w:t>2</w:t>
    </w:r>
    <w:r w:rsidR="002C124E" w:rsidRPr="002C124E">
      <w:rPr>
        <w:rFonts w:ascii="Garamond" w:hAnsi="Garamond"/>
        <w:b/>
        <w:bCs/>
        <w:smallCaps/>
        <w:sz w:val="22"/>
        <w:szCs w:val="22"/>
      </w:rPr>
      <w:t>)</w:t>
    </w:r>
  </w:p>
  <w:p w14:paraId="19605CF5" w14:textId="20DAE4F1" w:rsidR="002C124E" w:rsidRPr="002C124E" w:rsidRDefault="002C124E">
    <w:pPr>
      <w:pStyle w:val="Intestazione"/>
      <w:rPr>
        <w:rFonts w:ascii="Garamond" w:hAnsi="Garamond"/>
        <w:b/>
        <w:bCs/>
        <w:smallCaps/>
        <w:sz w:val="22"/>
        <w:szCs w:val="22"/>
      </w:rPr>
    </w:pPr>
  </w:p>
  <w:p w14:paraId="088DC566" w14:textId="77777777" w:rsidR="002C124E" w:rsidRPr="002C124E" w:rsidRDefault="002C124E">
    <w:pPr>
      <w:pStyle w:val="Intestazione"/>
      <w:rPr>
        <w:rFonts w:ascii="Garamond" w:hAnsi="Garamond"/>
        <w:b/>
        <w:bCs/>
        <w:smallCaps/>
        <w:sz w:val="22"/>
        <w:szCs w:val="22"/>
      </w:rPr>
    </w:pPr>
  </w:p>
  <w:p w14:paraId="53131788" w14:textId="77777777" w:rsidR="000A493A" w:rsidRDefault="000A49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6pt;height:11.6pt" o:bullet="t" filled="t">
        <v:fill color2="black"/>
        <v:imagedata r:id="rId1" o:title=""/>
      </v:shape>
    </w:pict>
  </w:numPicBullet>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color w:val="auto"/>
      </w:rPr>
    </w:lvl>
  </w:abstractNum>
  <w:abstractNum w:abstractNumId="3" w15:restartNumberingAfterBreak="0">
    <w:nsid w:val="00000004"/>
    <w:multiLevelType w:val="multilevel"/>
    <w:tmpl w:val="00000004"/>
    <w:name w:val="Outline"/>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4" w15:restartNumberingAfterBreak="0">
    <w:nsid w:val="1FBF25FF"/>
    <w:multiLevelType w:val="hybridMultilevel"/>
    <w:tmpl w:val="848C7D84"/>
    <w:lvl w:ilvl="0" w:tplc="4D9258E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133F1"/>
    <w:multiLevelType w:val="hybridMultilevel"/>
    <w:tmpl w:val="CE00890E"/>
    <w:lvl w:ilvl="0" w:tplc="7702FCC8">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7D8E0DDD"/>
    <w:multiLevelType w:val="hybridMultilevel"/>
    <w:tmpl w:val="C4CC5AF6"/>
    <w:lvl w:ilvl="0" w:tplc="52667576">
      <w:start w:val="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91"/>
    <w:rsid w:val="00005B26"/>
    <w:rsid w:val="000067AA"/>
    <w:rsid w:val="00011EC3"/>
    <w:rsid w:val="000145D5"/>
    <w:rsid w:val="0002219F"/>
    <w:rsid w:val="000229B8"/>
    <w:rsid w:val="00027002"/>
    <w:rsid w:val="00037A41"/>
    <w:rsid w:val="0005054E"/>
    <w:rsid w:val="00056290"/>
    <w:rsid w:val="000645F8"/>
    <w:rsid w:val="000676DF"/>
    <w:rsid w:val="00071EFB"/>
    <w:rsid w:val="0007461D"/>
    <w:rsid w:val="000A493A"/>
    <w:rsid w:val="000B6C4D"/>
    <w:rsid w:val="000D074C"/>
    <w:rsid w:val="000E244F"/>
    <w:rsid w:val="000E39FD"/>
    <w:rsid w:val="000E3CB9"/>
    <w:rsid w:val="000E4BD5"/>
    <w:rsid w:val="000F28F0"/>
    <w:rsid w:val="000F2E02"/>
    <w:rsid w:val="00107B88"/>
    <w:rsid w:val="001136DB"/>
    <w:rsid w:val="001164CE"/>
    <w:rsid w:val="00145659"/>
    <w:rsid w:val="00146C13"/>
    <w:rsid w:val="001540DD"/>
    <w:rsid w:val="0018462D"/>
    <w:rsid w:val="00187F28"/>
    <w:rsid w:val="0019457D"/>
    <w:rsid w:val="00196DD5"/>
    <w:rsid w:val="001B65CC"/>
    <w:rsid w:val="001C422D"/>
    <w:rsid w:val="001C5B50"/>
    <w:rsid w:val="001C69BF"/>
    <w:rsid w:val="001E19EC"/>
    <w:rsid w:val="001E7947"/>
    <w:rsid w:val="001F1DE5"/>
    <w:rsid w:val="001F7BF7"/>
    <w:rsid w:val="002000FF"/>
    <w:rsid w:val="00202BAC"/>
    <w:rsid w:val="00205999"/>
    <w:rsid w:val="00207DCB"/>
    <w:rsid w:val="00210416"/>
    <w:rsid w:val="00245048"/>
    <w:rsid w:val="00251BAA"/>
    <w:rsid w:val="002703E4"/>
    <w:rsid w:val="00297686"/>
    <w:rsid w:val="002C124E"/>
    <w:rsid w:val="002F3E25"/>
    <w:rsid w:val="002F4C82"/>
    <w:rsid w:val="003279EA"/>
    <w:rsid w:val="00384AC2"/>
    <w:rsid w:val="003D6318"/>
    <w:rsid w:val="003F13BB"/>
    <w:rsid w:val="00400082"/>
    <w:rsid w:val="00437759"/>
    <w:rsid w:val="00465E91"/>
    <w:rsid w:val="0049520F"/>
    <w:rsid w:val="004A094B"/>
    <w:rsid w:val="004C59DF"/>
    <w:rsid w:val="004C5A9F"/>
    <w:rsid w:val="004C5F3D"/>
    <w:rsid w:val="004F574F"/>
    <w:rsid w:val="004F58DD"/>
    <w:rsid w:val="004F69C4"/>
    <w:rsid w:val="00506CCE"/>
    <w:rsid w:val="00513F5A"/>
    <w:rsid w:val="005159E0"/>
    <w:rsid w:val="005339CF"/>
    <w:rsid w:val="0053756C"/>
    <w:rsid w:val="00550C2A"/>
    <w:rsid w:val="00552FF4"/>
    <w:rsid w:val="0055750B"/>
    <w:rsid w:val="00560B45"/>
    <w:rsid w:val="00572253"/>
    <w:rsid w:val="00583FCC"/>
    <w:rsid w:val="00590ADD"/>
    <w:rsid w:val="005A6D1F"/>
    <w:rsid w:val="005A7563"/>
    <w:rsid w:val="005B6384"/>
    <w:rsid w:val="005C3BB9"/>
    <w:rsid w:val="005E7B93"/>
    <w:rsid w:val="005F17EA"/>
    <w:rsid w:val="005F5DCD"/>
    <w:rsid w:val="0060085A"/>
    <w:rsid w:val="006213E3"/>
    <w:rsid w:val="00621DD3"/>
    <w:rsid w:val="006664E8"/>
    <w:rsid w:val="00671D86"/>
    <w:rsid w:val="00694152"/>
    <w:rsid w:val="00696F24"/>
    <w:rsid w:val="006C602B"/>
    <w:rsid w:val="006D2685"/>
    <w:rsid w:val="006E3DF1"/>
    <w:rsid w:val="006F0056"/>
    <w:rsid w:val="006F1CD6"/>
    <w:rsid w:val="0071755C"/>
    <w:rsid w:val="007243A5"/>
    <w:rsid w:val="00774615"/>
    <w:rsid w:val="00785E18"/>
    <w:rsid w:val="007B3A18"/>
    <w:rsid w:val="007B4C5B"/>
    <w:rsid w:val="007D273E"/>
    <w:rsid w:val="007D65B1"/>
    <w:rsid w:val="007E31C1"/>
    <w:rsid w:val="007F662B"/>
    <w:rsid w:val="007F6916"/>
    <w:rsid w:val="007F7ECC"/>
    <w:rsid w:val="00802CB7"/>
    <w:rsid w:val="008118CC"/>
    <w:rsid w:val="00820076"/>
    <w:rsid w:val="008239EC"/>
    <w:rsid w:val="0083585C"/>
    <w:rsid w:val="00871DCA"/>
    <w:rsid w:val="0088509F"/>
    <w:rsid w:val="0088733A"/>
    <w:rsid w:val="00893857"/>
    <w:rsid w:val="00896545"/>
    <w:rsid w:val="008A3D8E"/>
    <w:rsid w:val="008E4147"/>
    <w:rsid w:val="008E4D7C"/>
    <w:rsid w:val="008E7BA3"/>
    <w:rsid w:val="0090708E"/>
    <w:rsid w:val="00912F58"/>
    <w:rsid w:val="00931DFE"/>
    <w:rsid w:val="00990528"/>
    <w:rsid w:val="009C2504"/>
    <w:rsid w:val="00A04D5D"/>
    <w:rsid w:val="00A21BB6"/>
    <w:rsid w:val="00A5428F"/>
    <w:rsid w:val="00A65C5F"/>
    <w:rsid w:val="00A81CEB"/>
    <w:rsid w:val="00A840B8"/>
    <w:rsid w:val="00A8755D"/>
    <w:rsid w:val="00A939A5"/>
    <w:rsid w:val="00A95FCD"/>
    <w:rsid w:val="00AA6CF2"/>
    <w:rsid w:val="00AB68A8"/>
    <w:rsid w:val="00AB6BE8"/>
    <w:rsid w:val="00AC3B65"/>
    <w:rsid w:val="00AE1D07"/>
    <w:rsid w:val="00AE3760"/>
    <w:rsid w:val="00B04280"/>
    <w:rsid w:val="00B100B9"/>
    <w:rsid w:val="00B254FB"/>
    <w:rsid w:val="00B32D2C"/>
    <w:rsid w:val="00B44DC1"/>
    <w:rsid w:val="00B452DB"/>
    <w:rsid w:val="00B50D09"/>
    <w:rsid w:val="00B64B6F"/>
    <w:rsid w:val="00B66467"/>
    <w:rsid w:val="00B74DE0"/>
    <w:rsid w:val="00B7554E"/>
    <w:rsid w:val="00BA39B5"/>
    <w:rsid w:val="00BA5456"/>
    <w:rsid w:val="00BB3387"/>
    <w:rsid w:val="00BD4962"/>
    <w:rsid w:val="00C001EF"/>
    <w:rsid w:val="00C1426B"/>
    <w:rsid w:val="00C23E0D"/>
    <w:rsid w:val="00C57A5B"/>
    <w:rsid w:val="00C722EB"/>
    <w:rsid w:val="00C84106"/>
    <w:rsid w:val="00CB529F"/>
    <w:rsid w:val="00CD35DE"/>
    <w:rsid w:val="00CD7843"/>
    <w:rsid w:val="00CE0EE5"/>
    <w:rsid w:val="00CE1150"/>
    <w:rsid w:val="00D12D38"/>
    <w:rsid w:val="00D27BB4"/>
    <w:rsid w:val="00D41F35"/>
    <w:rsid w:val="00D43E29"/>
    <w:rsid w:val="00D62027"/>
    <w:rsid w:val="00D71CC8"/>
    <w:rsid w:val="00D90933"/>
    <w:rsid w:val="00D92257"/>
    <w:rsid w:val="00DA2D1C"/>
    <w:rsid w:val="00DD2191"/>
    <w:rsid w:val="00DD3BAE"/>
    <w:rsid w:val="00DE51EC"/>
    <w:rsid w:val="00E11177"/>
    <w:rsid w:val="00E16211"/>
    <w:rsid w:val="00E16AE6"/>
    <w:rsid w:val="00E2556F"/>
    <w:rsid w:val="00E348C6"/>
    <w:rsid w:val="00E35569"/>
    <w:rsid w:val="00E43D83"/>
    <w:rsid w:val="00E45A96"/>
    <w:rsid w:val="00E5754C"/>
    <w:rsid w:val="00E71B8C"/>
    <w:rsid w:val="00E72600"/>
    <w:rsid w:val="00E72BDA"/>
    <w:rsid w:val="00E83E76"/>
    <w:rsid w:val="00E97E30"/>
    <w:rsid w:val="00EA44BE"/>
    <w:rsid w:val="00EB5FD5"/>
    <w:rsid w:val="00EC69BB"/>
    <w:rsid w:val="00F05C11"/>
    <w:rsid w:val="00F101D8"/>
    <w:rsid w:val="00F33A01"/>
    <w:rsid w:val="00F36557"/>
    <w:rsid w:val="00F418DC"/>
    <w:rsid w:val="00F50154"/>
    <w:rsid w:val="00F569D9"/>
    <w:rsid w:val="00F64C76"/>
    <w:rsid w:val="00F67E2D"/>
    <w:rsid w:val="00F70E28"/>
    <w:rsid w:val="00F87CF5"/>
    <w:rsid w:val="00F909B4"/>
    <w:rsid w:val="00FD1F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04255"/>
  <w15:chartTrackingRefBased/>
  <w15:docId w15:val="{0A3501A8-75ED-4712-BDF4-90229651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4"/>
      </w:numPr>
      <w:spacing w:line="480" w:lineRule="exact"/>
      <w:jc w:val="both"/>
      <w:outlineLvl w:val="0"/>
    </w:pPr>
    <w:rPr>
      <w:sz w:val="26"/>
    </w:rPr>
  </w:style>
  <w:style w:type="paragraph" w:styleId="Titolo2">
    <w:name w:val="heading 2"/>
    <w:basedOn w:val="Normale"/>
    <w:next w:val="Normale"/>
    <w:qFormat/>
    <w:pPr>
      <w:keepNext/>
      <w:widowControl w:val="0"/>
      <w:numPr>
        <w:ilvl w:val="1"/>
        <w:numId w:val="4"/>
      </w:numPr>
      <w:spacing w:line="480" w:lineRule="exact"/>
      <w:outlineLvl w:val="1"/>
    </w:pPr>
    <w:rPr>
      <w:rFonts w:ascii="Garamond" w:hAnsi="Garamond"/>
      <w:sz w:val="24"/>
    </w:rPr>
  </w:style>
  <w:style w:type="paragraph" w:styleId="Titolo3">
    <w:name w:val="heading 3"/>
    <w:basedOn w:val="Normale"/>
    <w:next w:val="Normale"/>
    <w:qFormat/>
    <w:pPr>
      <w:keepNext/>
      <w:widowControl w:val="0"/>
      <w:numPr>
        <w:ilvl w:val="2"/>
        <w:numId w:val="4"/>
      </w:numPr>
      <w:outlineLvl w:val="2"/>
    </w:pPr>
    <w:rPr>
      <w:rFonts w:ascii="Arial" w:hAnsi="Arial"/>
      <w:b/>
      <w:i/>
    </w:rPr>
  </w:style>
  <w:style w:type="paragraph" w:styleId="Titolo4">
    <w:name w:val="heading 4"/>
    <w:basedOn w:val="Normale"/>
    <w:next w:val="Normale"/>
    <w:qFormat/>
    <w:pPr>
      <w:keepNext/>
      <w:widowControl w:val="0"/>
      <w:numPr>
        <w:ilvl w:val="3"/>
        <w:numId w:val="4"/>
      </w:numPr>
      <w:jc w:val="center"/>
      <w:outlineLvl w:val="3"/>
    </w:pPr>
    <w:rPr>
      <w:rFonts w:ascii="Arial" w:hAnsi="Arial"/>
      <w:b/>
    </w:rPr>
  </w:style>
  <w:style w:type="paragraph" w:styleId="Titolo5">
    <w:name w:val="heading 5"/>
    <w:basedOn w:val="Normale"/>
    <w:next w:val="Normale"/>
    <w:qFormat/>
    <w:pPr>
      <w:keepNext/>
      <w:widowControl w:val="0"/>
      <w:numPr>
        <w:ilvl w:val="4"/>
        <w:numId w:val="4"/>
      </w:numPr>
      <w:spacing w:line="480" w:lineRule="exact"/>
      <w:ind w:left="708"/>
      <w:jc w:val="both"/>
      <w:outlineLvl w:val="4"/>
    </w:pPr>
    <w:rPr>
      <w:rFonts w:ascii="Garamond" w:hAnsi="Garamond"/>
      <w:sz w:val="24"/>
    </w:rPr>
  </w:style>
  <w:style w:type="paragraph" w:styleId="Titolo6">
    <w:name w:val="heading 6"/>
    <w:basedOn w:val="Normale"/>
    <w:next w:val="Normale"/>
    <w:qFormat/>
    <w:pPr>
      <w:keepNext/>
      <w:widowControl w:val="0"/>
      <w:numPr>
        <w:ilvl w:val="5"/>
        <w:numId w:val="4"/>
      </w:numPr>
      <w:outlineLvl w:val="5"/>
    </w:pPr>
    <w:rPr>
      <w:rFonts w:ascii="Arial" w:hAnsi="Arial"/>
      <w:sz w:val="16"/>
    </w:rPr>
  </w:style>
  <w:style w:type="paragraph" w:styleId="Titolo7">
    <w:name w:val="heading 7"/>
    <w:basedOn w:val="Normale"/>
    <w:next w:val="Normale"/>
    <w:qFormat/>
    <w:pPr>
      <w:keepNext/>
      <w:widowControl w:val="0"/>
      <w:numPr>
        <w:ilvl w:val="6"/>
        <w:numId w:val="4"/>
      </w:numPr>
      <w:spacing w:line="480" w:lineRule="exact"/>
      <w:jc w:val="both"/>
      <w:outlineLvl w:val="6"/>
    </w:pPr>
    <w:rPr>
      <w:rFonts w:ascii="Comic Sans MS" w:hAnsi="Comic Sans MS"/>
      <w:b/>
      <w:sz w:val="18"/>
    </w:rPr>
  </w:style>
  <w:style w:type="paragraph" w:styleId="Titolo8">
    <w:name w:val="heading 8"/>
    <w:basedOn w:val="Normale"/>
    <w:next w:val="Normale"/>
    <w:qFormat/>
    <w:pPr>
      <w:keepNext/>
      <w:widowControl w:val="0"/>
      <w:numPr>
        <w:ilvl w:val="7"/>
        <w:numId w:val="4"/>
      </w:numPr>
      <w:spacing w:line="480" w:lineRule="exact"/>
      <w:jc w:val="center"/>
      <w:outlineLvl w:val="7"/>
    </w:pPr>
    <w:rPr>
      <w:rFonts w:ascii="Garamond" w:hAnsi="Garamond"/>
      <w:b/>
      <w:i/>
      <w:sz w:val="24"/>
    </w:rPr>
  </w:style>
  <w:style w:type="paragraph" w:styleId="Titolo9">
    <w:name w:val="heading 9"/>
    <w:basedOn w:val="Normale"/>
    <w:next w:val="Normale"/>
    <w:qFormat/>
    <w:pPr>
      <w:keepNext/>
      <w:widowControl w:val="0"/>
      <w:numPr>
        <w:ilvl w:val="8"/>
        <w:numId w:val="4"/>
      </w:numPr>
      <w:spacing w:line="480" w:lineRule="exact"/>
      <w:ind w:left="360"/>
      <w:jc w:val="both"/>
      <w:outlineLvl w:val="8"/>
    </w:pPr>
    <w:rPr>
      <w:rFonts w:ascii="Garamond" w:hAnsi="Garamond"/>
      <w:b/>
      <w:position w:val="28"/>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olor w:val="auto"/>
    </w:rPr>
  </w:style>
  <w:style w:type="character" w:customStyle="1" w:styleId="WW8Num2z0">
    <w:name w:val="WW8Num2z0"/>
    <w:rPr>
      <w:rFonts w:ascii="Wingdings" w:hAnsi="Wingdings"/>
      <w:color w:val="auto"/>
    </w:rPr>
  </w:style>
  <w:style w:type="character" w:customStyle="1" w:styleId="WW8Num3z0">
    <w:name w:val="WW8Num3z0"/>
    <w:rPr>
      <w:rFonts w:ascii="Wingdings" w:hAnsi="Wingdings"/>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Wingdings" w:hAnsi="Wingdings"/>
      <w:b/>
      <w:bCs/>
      <w:color w:val="auto"/>
    </w:rPr>
  </w:style>
  <w:style w:type="character" w:customStyle="1" w:styleId="WW-Absatz-Standardschriftart11">
    <w:name w:val="WW-Absatz-Standardschriftart11"/>
  </w:style>
  <w:style w:type="character" w:customStyle="1" w:styleId="WW8Num4z0">
    <w:name w:val="WW8Num4z0"/>
    <w:rPr>
      <w:rFonts w:ascii="Wingdings" w:hAnsi="Wingdings"/>
      <w:sz w:val="16"/>
    </w:rPr>
  </w:style>
  <w:style w:type="character" w:customStyle="1" w:styleId="WW8Num5z1">
    <w:name w:val="WW8Num5z1"/>
    <w:rPr>
      <w:rFonts w:ascii="Wingdings 2" w:hAnsi="Wingdings 2" w:cs="StarSymbol"/>
      <w:sz w:val="18"/>
      <w:szCs w:val="18"/>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Wingdings" w:hAnsi="Wingdings"/>
      <w:sz w:val="16"/>
    </w:rPr>
  </w:style>
  <w:style w:type="character" w:customStyle="1" w:styleId="WW8Num11z0">
    <w:name w:val="WW8Num11z0"/>
    <w:rPr>
      <w:rFonts w:ascii="Wingdings" w:hAnsi="Wingdings"/>
      <w:sz w:val="16"/>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4z0">
    <w:name w:val="WW8Num14z0"/>
    <w:rPr>
      <w:rFonts w:ascii="Times New Roman" w:hAnsi="Times New Roman"/>
    </w:rPr>
  </w:style>
  <w:style w:type="character" w:customStyle="1" w:styleId="WW8Num16z0">
    <w:name w:val="WW8Num16z0"/>
    <w:rPr>
      <w:rFonts w:ascii="Square721 BT" w:eastAsia="Times New Roman" w:hAnsi="Square721 BT" w:cs="Times New Roman"/>
      <w:color w:val="auto"/>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Wingdings" w:hAnsi="Wingdings"/>
      <w:sz w:val="16"/>
    </w:rPr>
  </w:style>
  <w:style w:type="character" w:customStyle="1" w:styleId="WW8Num19z0">
    <w:name w:val="WW8Num19z0"/>
    <w:rPr>
      <w:rFonts w:ascii="Wingdings" w:hAnsi="Wingdings"/>
      <w:sz w:val="16"/>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b/>
      <w:u w:val="single"/>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rFonts w:ascii="Times New Roman" w:hAnsi="Times New Roman"/>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1z0">
    <w:name w:val="WW8Num31z0"/>
    <w:rPr>
      <w:u w:val="none"/>
    </w:rPr>
  </w:style>
  <w:style w:type="character" w:customStyle="1" w:styleId="WW8Num32z0">
    <w:name w:val="WW8Num32z0"/>
    <w:rPr>
      <w:rFonts w:ascii="Wingdings" w:hAnsi="Wingdings"/>
      <w:sz w:val="16"/>
    </w:rPr>
  </w:style>
  <w:style w:type="character" w:customStyle="1" w:styleId="WW8Num34z0">
    <w:name w:val="WW8Num34z0"/>
    <w:rPr>
      <w:rFonts w:ascii="Wingdings" w:hAnsi="Wingdings"/>
    </w:rPr>
  </w:style>
  <w:style w:type="character" w:customStyle="1" w:styleId="WW8Num34z1">
    <w:name w:val="WW8Num34z1"/>
    <w:rPr>
      <w:rFonts w:ascii="Courier New" w:hAnsi="Courier New"/>
    </w:rPr>
  </w:style>
  <w:style w:type="character" w:customStyle="1" w:styleId="WW8Num34z3">
    <w:name w:val="WW8Num34z3"/>
    <w:rPr>
      <w:rFonts w:ascii="Symbol" w:hAnsi="Symbol"/>
    </w:rPr>
  </w:style>
  <w:style w:type="character" w:customStyle="1" w:styleId="WW8Num35z0">
    <w:name w:val="WW8Num35z0"/>
    <w:rPr>
      <w:rFonts w:ascii="Wingdings" w:hAnsi="Wingdings"/>
      <w:sz w:val="16"/>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8z0">
    <w:name w:val="WW8Num38z0"/>
    <w:rPr>
      <w:rFonts w:ascii="Symbol" w:hAnsi="Symbol"/>
    </w:rPr>
  </w:style>
  <w:style w:type="character" w:customStyle="1" w:styleId="WW8Num39z0">
    <w:name w:val="WW8Num39z0"/>
    <w:rPr>
      <w:rFonts w:ascii="Wingdings" w:hAnsi="Wingdings"/>
      <w:sz w:val="16"/>
    </w:rPr>
  </w:style>
  <w:style w:type="character" w:customStyle="1" w:styleId="WW8Num44z0">
    <w:name w:val="WW8Num44z0"/>
    <w:rPr>
      <w:sz w:val="20"/>
    </w:rPr>
  </w:style>
  <w:style w:type="character" w:customStyle="1" w:styleId="WW8Num45z0">
    <w:name w:val="WW8Num45z0"/>
    <w:rPr>
      <w:rFonts w:ascii="Wingdings" w:hAnsi="Wingdings"/>
    </w:rPr>
  </w:style>
  <w:style w:type="character" w:customStyle="1" w:styleId="WW8Num45z1">
    <w:name w:val="WW8Num45z1"/>
    <w:rPr>
      <w:rFonts w:ascii="Courier New" w:hAnsi="Courier New"/>
    </w:rPr>
  </w:style>
  <w:style w:type="character" w:customStyle="1" w:styleId="WW8Num45z3">
    <w:name w:val="WW8Num45z3"/>
    <w:rPr>
      <w:rFonts w:ascii="Symbol" w:hAnsi="Symbol"/>
    </w:rPr>
  </w:style>
  <w:style w:type="character" w:customStyle="1" w:styleId="WW8Num47z0">
    <w:name w:val="WW8Num47z0"/>
    <w:rPr>
      <w:b/>
      <w:u w:val="single"/>
    </w:rPr>
  </w:style>
  <w:style w:type="character" w:customStyle="1" w:styleId="WW8Num50z0">
    <w:name w:val="WW8Num50z0"/>
    <w:rPr>
      <w:rFonts w:ascii="Symbol" w:hAnsi="Symbol"/>
    </w:rPr>
  </w:style>
  <w:style w:type="character" w:customStyle="1" w:styleId="WW8Num53z0">
    <w:name w:val="WW8Num53z0"/>
    <w:rPr>
      <w:rFonts w:ascii="Wingdings" w:hAnsi="Wingdings"/>
      <w:sz w:val="16"/>
    </w:rPr>
  </w:style>
  <w:style w:type="character" w:customStyle="1" w:styleId="WW8Num54z0">
    <w:name w:val="WW8Num54z0"/>
    <w:rPr>
      <w:rFonts w:ascii="Wingdings" w:hAnsi="Wingdings"/>
      <w:sz w:val="16"/>
    </w:rPr>
  </w:style>
  <w:style w:type="character" w:customStyle="1" w:styleId="WW8Num55z0">
    <w:name w:val="WW8Num55z0"/>
    <w:rPr>
      <w:rFonts w:ascii="Wingdings" w:hAnsi="Wingdings"/>
      <w:sz w:val="16"/>
    </w:rPr>
  </w:style>
  <w:style w:type="character" w:customStyle="1" w:styleId="WW8Num56z0">
    <w:name w:val="WW8Num56z0"/>
    <w:rPr>
      <w:rFonts w:ascii="Wingdings" w:hAnsi="Wingdings"/>
      <w:color w:val="auto"/>
      <w:sz w:val="22"/>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0">
    <w:name w:val="WW8Num57z0"/>
    <w:rPr>
      <w:rFonts w:ascii="Wingdings" w:hAnsi="Wingdings"/>
      <w:sz w:val="16"/>
    </w:rPr>
  </w:style>
  <w:style w:type="character" w:customStyle="1" w:styleId="WW8Num58z0">
    <w:name w:val="WW8Num58z0"/>
    <w:rPr>
      <w:rFonts w:ascii="Wingdings" w:hAnsi="Wingdings"/>
      <w:sz w:val="16"/>
    </w:rPr>
  </w:style>
  <w:style w:type="character" w:customStyle="1" w:styleId="WW8Num61z0">
    <w:name w:val="WW8Num61z0"/>
    <w:rPr>
      <w:rFonts w:ascii="Times New Roman" w:hAnsi="Times New Roman"/>
    </w:rPr>
  </w:style>
  <w:style w:type="character" w:customStyle="1" w:styleId="WW8Num62z0">
    <w:name w:val="WW8Num62z0"/>
    <w:rPr>
      <w:rFonts w:ascii="Wingdings" w:hAnsi="Wingdings"/>
      <w:sz w:val="16"/>
    </w:rPr>
  </w:style>
  <w:style w:type="character" w:customStyle="1" w:styleId="WW8Num63z0">
    <w:name w:val="WW8Num63z0"/>
    <w:rPr>
      <w:rFonts w:ascii="Wingdings" w:hAnsi="Wingdings"/>
    </w:rPr>
  </w:style>
  <w:style w:type="character" w:customStyle="1" w:styleId="WW8Num63z1">
    <w:name w:val="WW8Num63z1"/>
    <w:rPr>
      <w:rFonts w:ascii="Courier New" w:hAnsi="Courier New"/>
    </w:rPr>
  </w:style>
  <w:style w:type="character" w:customStyle="1" w:styleId="WW8Num63z3">
    <w:name w:val="WW8Num63z3"/>
    <w:rPr>
      <w:rFonts w:ascii="Symbol" w:hAnsi="Symbol"/>
    </w:rPr>
  </w:style>
  <w:style w:type="character" w:customStyle="1" w:styleId="WW8Num64z0">
    <w:name w:val="WW8Num64z0"/>
    <w:rPr>
      <w:rFonts w:ascii="Wingdings" w:hAnsi="Wingdings"/>
      <w:sz w:val="16"/>
    </w:rPr>
  </w:style>
  <w:style w:type="character" w:customStyle="1" w:styleId="WW8Num69z0">
    <w:name w:val="WW8Num69z0"/>
    <w:rPr>
      <w:rFonts w:ascii="Symbol" w:hAnsi="Symbol"/>
    </w:rPr>
  </w:style>
  <w:style w:type="character" w:customStyle="1" w:styleId="WW8Num70z0">
    <w:name w:val="WW8Num70z0"/>
    <w:rPr>
      <w:rFonts w:ascii="Wingdings" w:hAnsi="Wingdings"/>
      <w:sz w:val="16"/>
    </w:rPr>
  </w:style>
  <w:style w:type="character" w:customStyle="1" w:styleId="WW8Num71z0">
    <w:name w:val="WW8Num71z0"/>
    <w:rPr>
      <w:rFonts w:ascii="Wingdings" w:hAnsi="Wingdings"/>
      <w:sz w:val="16"/>
    </w:rPr>
  </w:style>
  <w:style w:type="character" w:customStyle="1" w:styleId="WW8Num72z0">
    <w:name w:val="WW8Num72z0"/>
    <w:rPr>
      <w:rFonts w:ascii="Wingdings" w:hAnsi="Wingdings"/>
      <w:sz w:val="16"/>
    </w:rPr>
  </w:style>
  <w:style w:type="character" w:customStyle="1" w:styleId="WW8Num73z0">
    <w:name w:val="WW8Num73z0"/>
    <w:rPr>
      <w:b/>
      <w:u w:val="single"/>
    </w:rPr>
  </w:style>
  <w:style w:type="character" w:customStyle="1" w:styleId="WW8Num75z0">
    <w:name w:val="WW8Num75z0"/>
    <w:rPr>
      <w:rFonts w:ascii="Wingdings" w:hAnsi="Wingdings"/>
      <w:sz w:val="16"/>
    </w:rPr>
  </w:style>
  <w:style w:type="character" w:customStyle="1" w:styleId="WW8Num77z0">
    <w:name w:val="WW8Num77z0"/>
    <w:rPr>
      <w:rFonts w:ascii="Wingdings" w:hAnsi="Wingdings"/>
    </w:rPr>
  </w:style>
  <w:style w:type="character" w:customStyle="1" w:styleId="WW8Num77z1">
    <w:name w:val="WW8Num77z1"/>
    <w:rPr>
      <w:rFonts w:ascii="Courier New" w:hAnsi="Courier New"/>
    </w:rPr>
  </w:style>
  <w:style w:type="character" w:customStyle="1" w:styleId="WW8Num77z3">
    <w:name w:val="WW8Num77z3"/>
    <w:rPr>
      <w:rFonts w:ascii="Symbol" w:hAnsi="Symbol"/>
    </w:rPr>
  </w:style>
  <w:style w:type="character" w:customStyle="1" w:styleId="WW8Num78z0">
    <w:name w:val="WW8Num78z0"/>
    <w:rPr>
      <w:rFonts w:ascii="Wingdings" w:hAnsi="Wingdings"/>
    </w:rPr>
  </w:style>
  <w:style w:type="character" w:customStyle="1" w:styleId="WW8Num84z0">
    <w:name w:val="WW8Num84z0"/>
    <w:rPr>
      <w:rFonts w:ascii="Wingdings" w:hAnsi="Wingdings"/>
      <w:sz w:val="16"/>
    </w:rPr>
  </w:style>
  <w:style w:type="character" w:customStyle="1" w:styleId="WW8Num85z0">
    <w:name w:val="WW8Num85z0"/>
    <w:rPr>
      <w:rFonts w:ascii="Wingdings" w:hAnsi="Wingdings"/>
      <w:sz w:val="16"/>
    </w:rPr>
  </w:style>
  <w:style w:type="character" w:customStyle="1" w:styleId="WW8Num87z0">
    <w:name w:val="WW8Num87z0"/>
    <w:rPr>
      <w:rFonts w:ascii="Symbol" w:hAnsi="Symbol"/>
    </w:rPr>
  </w:style>
  <w:style w:type="character" w:customStyle="1" w:styleId="WW8Num88z0">
    <w:name w:val="WW8Num88z0"/>
    <w:rPr>
      <w:b w:val="0"/>
      <w:i w:val="0"/>
    </w:rPr>
  </w:style>
  <w:style w:type="character" w:customStyle="1" w:styleId="WW8Num89z0">
    <w:name w:val="WW8Num89z0"/>
    <w:rPr>
      <w:rFonts w:ascii="Symbol" w:hAnsi="Symbol"/>
    </w:rPr>
  </w:style>
  <w:style w:type="character" w:customStyle="1" w:styleId="WW8Num91z0">
    <w:name w:val="WW8Num91z0"/>
    <w:rPr>
      <w:rFonts w:ascii="Wingdings" w:hAnsi="Wingdings"/>
      <w:sz w:val="16"/>
    </w:rPr>
  </w:style>
  <w:style w:type="character" w:customStyle="1" w:styleId="WW8Num92z0">
    <w:name w:val="WW8Num92z0"/>
    <w:rPr>
      <w:rFonts w:ascii="Wingdings" w:hAnsi="Wingdings"/>
    </w:rPr>
  </w:style>
  <w:style w:type="character" w:customStyle="1" w:styleId="WW8Num93z0">
    <w:name w:val="WW8Num93z0"/>
    <w:rPr>
      <w:rFonts w:ascii="Wingdings" w:hAnsi="Wingdings"/>
      <w:color w:val="auto"/>
    </w:rPr>
  </w:style>
  <w:style w:type="character" w:customStyle="1" w:styleId="WW8Num93z1">
    <w:name w:val="WW8Num93z1"/>
    <w:rPr>
      <w:rFonts w:ascii="Courier New" w:hAnsi="Courier New"/>
    </w:rPr>
  </w:style>
  <w:style w:type="character" w:customStyle="1" w:styleId="WW8Num93z2">
    <w:name w:val="WW8Num93z2"/>
    <w:rPr>
      <w:rFonts w:ascii="Wingdings" w:hAnsi="Wingdings"/>
    </w:rPr>
  </w:style>
  <w:style w:type="character" w:customStyle="1" w:styleId="WW8Num93z3">
    <w:name w:val="WW8Num93z3"/>
    <w:rPr>
      <w:rFonts w:ascii="Symbol" w:hAnsi="Symbol"/>
    </w:rPr>
  </w:style>
  <w:style w:type="character" w:customStyle="1" w:styleId="WW8Num94z0">
    <w:name w:val="WW8Num94z0"/>
    <w:rPr>
      <w:rFonts w:ascii="Wingdings" w:hAnsi="Wingdings"/>
      <w:sz w:val="16"/>
    </w:rPr>
  </w:style>
  <w:style w:type="character" w:customStyle="1" w:styleId="WW8Num95z0">
    <w:name w:val="WW8Num95z0"/>
    <w:rPr>
      <w:rFonts w:ascii="Wingdings" w:hAnsi="Wingdings"/>
      <w:sz w:val="16"/>
    </w:rPr>
  </w:style>
  <w:style w:type="character" w:customStyle="1" w:styleId="WW8Num97z0">
    <w:name w:val="WW8Num97z0"/>
    <w:rPr>
      <w:rFonts w:ascii="Wingdings" w:hAnsi="Wingdings"/>
      <w:sz w:val="16"/>
    </w:rPr>
  </w:style>
  <w:style w:type="character" w:customStyle="1" w:styleId="WW8Num100z0">
    <w:name w:val="WW8Num100z0"/>
    <w:rPr>
      <w:rFonts w:ascii="Wingdings" w:hAnsi="Wingdings"/>
      <w:sz w:val="16"/>
    </w:rPr>
  </w:style>
  <w:style w:type="character" w:customStyle="1" w:styleId="WW8Num103z0">
    <w:name w:val="WW8Num103z0"/>
    <w:rPr>
      <w:b w:val="0"/>
      <w:i w:val="0"/>
    </w:rPr>
  </w:style>
  <w:style w:type="character" w:customStyle="1" w:styleId="WW8Num107z0">
    <w:name w:val="WW8Num107z0"/>
    <w:rPr>
      <w:rFonts w:ascii="Times New Roman" w:hAnsi="Times New Roman"/>
    </w:rPr>
  </w:style>
  <w:style w:type="character" w:customStyle="1" w:styleId="WW8Num109z0">
    <w:name w:val="WW8Num109z0"/>
    <w:rPr>
      <w:rFonts w:ascii="Times New Roman" w:eastAsia="Times New Roman" w:hAnsi="Times New Roman" w:cs="Times New Roman"/>
    </w:rPr>
  </w:style>
  <w:style w:type="character" w:customStyle="1" w:styleId="WW8Num109z1">
    <w:name w:val="WW8Num109z1"/>
    <w:rPr>
      <w:rFonts w:ascii="Courier New" w:hAnsi="Courier New"/>
    </w:rPr>
  </w:style>
  <w:style w:type="character" w:customStyle="1" w:styleId="WW8Num109z2">
    <w:name w:val="WW8Num109z2"/>
    <w:rPr>
      <w:rFonts w:ascii="Wingdings" w:hAnsi="Wingdings"/>
    </w:rPr>
  </w:style>
  <w:style w:type="character" w:customStyle="1" w:styleId="WW8Num109z3">
    <w:name w:val="WW8Num109z3"/>
    <w:rPr>
      <w:rFonts w:ascii="Symbol" w:hAnsi="Symbol"/>
    </w:rPr>
  </w:style>
  <w:style w:type="character" w:customStyle="1" w:styleId="WW8Num110z0">
    <w:name w:val="WW8Num110z0"/>
    <w:rPr>
      <w:rFonts w:ascii="Times New Roman" w:hAnsi="Times New Roman"/>
    </w:rPr>
  </w:style>
  <w:style w:type="character" w:customStyle="1" w:styleId="WW8Num112z0">
    <w:name w:val="WW8Num112z0"/>
    <w:rPr>
      <w:b/>
      <w:u w:val="single"/>
    </w:rPr>
  </w:style>
  <w:style w:type="character" w:customStyle="1" w:styleId="WW8Num114z0">
    <w:name w:val="WW8Num114z0"/>
    <w:rPr>
      <w:rFonts w:ascii="Wingdings" w:hAnsi="Wingdings"/>
      <w:sz w:val="16"/>
    </w:rPr>
  </w:style>
  <w:style w:type="character" w:customStyle="1" w:styleId="WW8Num115z0">
    <w:name w:val="WW8Num115z0"/>
    <w:rPr>
      <w:b/>
      <w:i w:val="0"/>
    </w:rPr>
  </w:style>
  <w:style w:type="character" w:customStyle="1" w:styleId="WW8Num117z0">
    <w:name w:val="WW8Num117z0"/>
    <w:rPr>
      <w:rFonts w:ascii="Wingdings" w:hAnsi="Wingdings"/>
      <w:sz w:val="16"/>
    </w:rPr>
  </w:style>
  <w:style w:type="character" w:customStyle="1" w:styleId="WW8Num118z0">
    <w:name w:val="WW8Num118z0"/>
    <w:rPr>
      <w:rFonts w:ascii="Times New Roman" w:hAnsi="Times New Roman"/>
      <w:sz w:val="18"/>
    </w:rPr>
  </w:style>
  <w:style w:type="character" w:customStyle="1" w:styleId="WW8Num119z0">
    <w:name w:val="WW8Num119z0"/>
    <w:rPr>
      <w:b w:val="0"/>
      <w:i w:val="0"/>
    </w:rPr>
  </w:style>
  <w:style w:type="character" w:customStyle="1" w:styleId="WW8Num120z0">
    <w:name w:val="WW8Num120z0"/>
    <w:rPr>
      <w:b/>
      <w:u w:val="single"/>
    </w:rPr>
  </w:style>
  <w:style w:type="character" w:customStyle="1" w:styleId="WW8Num121z0">
    <w:name w:val="WW8Num121z0"/>
    <w:rPr>
      <w:rFonts w:ascii="Wingdings" w:hAnsi="Wingdings"/>
    </w:rPr>
  </w:style>
  <w:style w:type="character" w:customStyle="1" w:styleId="WW8Num121z1">
    <w:name w:val="WW8Num121z1"/>
    <w:rPr>
      <w:rFonts w:ascii="Courier New" w:hAnsi="Courier New"/>
    </w:rPr>
  </w:style>
  <w:style w:type="character" w:customStyle="1" w:styleId="WW8Num121z3">
    <w:name w:val="WW8Num121z3"/>
    <w:rPr>
      <w:rFonts w:ascii="Symbol" w:hAnsi="Symbol"/>
    </w:rPr>
  </w:style>
  <w:style w:type="character" w:customStyle="1" w:styleId="WW8Num123z0">
    <w:name w:val="WW8Num123z0"/>
    <w:rPr>
      <w:sz w:val="20"/>
    </w:rPr>
  </w:style>
  <w:style w:type="character" w:customStyle="1" w:styleId="WW8Num125z0">
    <w:name w:val="WW8Num125z0"/>
    <w:rPr>
      <w:rFonts w:ascii="Wingdings" w:hAnsi="Wingdings"/>
      <w:color w:val="auto"/>
    </w:rPr>
  </w:style>
  <w:style w:type="character" w:customStyle="1" w:styleId="WW8Num125z1">
    <w:name w:val="WW8Num125z1"/>
    <w:rPr>
      <w:rFonts w:ascii="Courier New" w:hAnsi="Courier New"/>
    </w:rPr>
  </w:style>
  <w:style w:type="character" w:customStyle="1" w:styleId="WW8Num125z2">
    <w:name w:val="WW8Num125z2"/>
    <w:rPr>
      <w:rFonts w:ascii="Wingdings" w:hAnsi="Wingdings"/>
    </w:rPr>
  </w:style>
  <w:style w:type="character" w:customStyle="1" w:styleId="WW8Num125z3">
    <w:name w:val="WW8Num125z3"/>
    <w:rPr>
      <w:rFonts w:ascii="Symbol" w:hAnsi="Symbol"/>
    </w:rPr>
  </w:style>
  <w:style w:type="character" w:customStyle="1" w:styleId="WW8Num126z0">
    <w:name w:val="WW8Num126z0"/>
    <w:rPr>
      <w:rFonts w:ascii="Wingdings" w:hAnsi="Wingdings"/>
      <w:color w:val="auto"/>
    </w:rPr>
  </w:style>
  <w:style w:type="character" w:customStyle="1" w:styleId="WW8Num126z1">
    <w:name w:val="WW8Num126z1"/>
    <w:rPr>
      <w:rFonts w:ascii="Courier New" w:hAnsi="Courier New"/>
    </w:rPr>
  </w:style>
  <w:style w:type="character" w:customStyle="1" w:styleId="WW8Num126z2">
    <w:name w:val="WW8Num126z2"/>
    <w:rPr>
      <w:rFonts w:ascii="Wingdings" w:hAnsi="Wingdings"/>
    </w:rPr>
  </w:style>
  <w:style w:type="character" w:customStyle="1" w:styleId="WW8Num126z3">
    <w:name w:val="WW8Num126z3"/>
    <w:rPr>
      <w:rFonts w:ascii="Symbol" w:hAnsi="Symbol"/>
    </w:rPr>
  </w:style>
  <w:style w:type="character" w:customStyle="1" w:styleId="WW8Num127z0">
    <w:name w:val="WW8Num127z0"/>
    <w:rPr>
      <w:rFonts w:ascii="Symbol" w:hAnsi="Symbol"/>
    </w:rPr>
  </w:style>
  <w:style w:type="character" w:customStyle="1" w:styleId="WW8Num128z0">
    <w:name w:val="WW8Num128z0"/>
    <w:rPr>
      <w:rFonts w:ascii="Wingdings" w:hAnsi="Wingdings"/>
    </w:rPr>
  </w:style>
  <w:style w:type="character" w:customStyle="1" w:styleId="WW8Num128z1">
    <w:name w:val="WW8Num128z1"/>
    <w:rPr>
      <w:rFonts w:ascii="Courier New" w:hAnsi="Courier New"/>
    </w:rPr>
  </w:style>
  <w:style w:type="character" w:customStyle="1" w:styleId="WW8Num128z3">
    <w:name w:val="WW8Num128z3"/>
    <w:rPr>
      <w:rFonts w:ascii="Symbol" w:hAnsi="Symbol"/>
    </w:rPr>
  </w:style>
  <w:style w:type="character" w:customStyle="1" w:styleId="WW8Num134z0">
    <w:name w:val="WW8Num134z0"/>
    <w:rPr>
      <w:rFonts w:ascii="Times New Roman" w:hAnsi="Times New Roman"/>
    </w:rPr>
  </w:style>
  <w:style w:type="character" w:customStyle="1" w:styleId="WW8Num136z0">
    <w:name w:val="WW8Num136z0"/>
    <w:rPr>
      <w:rFonts w:ascii="Wingdings" w:hAnsi="Wingdings"/>
      <w:sz w:val="16"/>
    </w:rPr>
  </w:style>
  <w:style w:type="character" w:customStyle="1" w:styleId="WW8Num137z0">
    <w:name w:val="WW8Num137z0"/>
    <w:rPr>
      <w:rFonts w:ascii="Times New Roman" w:eastAsia="Times New Roman" w:hAnsi="Times New Roman" w:cs="Times New Roman"/>
    </w:rPr>
  </w:style>
  <w:style w:type="character" w:customStyle="1" w:styleId="WW8Num137z1">
    <w:name w:val="WW8Num137z1"/>
    <w:rPr>
      <w:rFonts w:ascii="Courier New" w:hAnsi="Courier New"/>
    </w:rPr>
  </w:style>
  <w:style w:type="character" w:customStyle="1" w:styleId="WW8Num137z2">
    <w:name w:val="WW8Num137z2"/>
    <w:rPr>
      <w:rFonts w:ascii="Wingdings" w:hAnsi="Wingdings"/>
    </w:rPr>
  </w:style>
  <w:style w:type="character" w:customStyle="1" w:styleId="WW8Num137z3">
    <w:name w:val="WW8Num137z3"/>
    <w:rPr>
      <w:rFonts w:ascii="Symbol" w:hAnsi="Symbol"/>
    </w:rPr>
  </w:style>
  <w:style w:type="character" w:customStyle="1" w:styleId="WW8Num138z0">
    <w:name w:val="WW8Num138z0"/>
    <w:rPr>
      <w:rFonts w:ascii="Wingdings" w:hAnsi="Wingdings"/>
      <w:sz w:val="16"/>
    </w:rPr>
  </w:style>
  <w:style w:type="character" w:customStyle="1" w:styleId="WW8Num139z0">
    <w:name w:val="WW8Num139z0"/>
    <w:rPr>
      <w:rFonts w:ascii="Wingdings" w:hAnsi="Wingdings"/>
      <w:sz w:val="16"/>
    </w:rPr>
  </w:style>
  <w:style w:type="character" w:customStyle="1" w:styleId="WW8Num141z0">
    <w:name w:val="WW8Num141z0"/>
    <w:rPr>
      <w:rFonts w:ascii="Square721 BT" w:eastAsia="Times New Roman" w:hAnsi="Square721 BT" w:cs="Times New Roman"/>
      <w:color w:val="auto"/>
    </w:rPr>
  </w:style>
  <w:style w:type="character" w:customStyle="1" w:styleId="WW8Num141z1">
    <w:name w:val="WW8Num141z1"/>
    <w:rPr>
      <w:rFonts w:ascii="Courier New" w:hAnsi="Courier New"/>
    </w:rPr>
  </w:style>
  <w:style w:type="character" w:customStyle="1" w:styleId="WW8Num141z2">
    <w:name w:val="WW8Num141z2"/>
    <w:rPr>
      <w:rFonts w:ascii="Wingdings" w:hAnsi="Wingdings"/>
    </w:rPr>
  </w:style>
  <w:style w:type="character" w:customStyle="1" w:styleId="WW8Num141z3">
    <w:name w:val="WW8Num141z3"/>
    <w:rPr>
      <w:rFonts w:ascii="Symbol" w:hAnsi="Symbol"/>
    </w:rPr>
  </w:style>
  <w:style w:type="character" w:customStyle="1" w:styleId="WW8Num142z0">
    <w:name w:val="WW8Num142z0"/>
    <w:rPr>
      <w:rFonts w:ascii="Wingdings" w:hAnsi="Wingdings"/>
      <w:b/>
      <w:bCs/>
      <w:color w:val="auto"/>
    </w:rPr>
  </w:style>
  <w:style w:type="character" w:customStyle="1" w:styleId="WW8Num142z1">
    <w:name w:val="WW8Num142z1"/>
    <w:rPr>
      <w:rFonts w:ascii="Courier New" w:hAnsi="Courier New"/>
    </w:rPr>
  </w:style>
  <w:style w:type="character" w:customStyle="1" w:styleId="WW8Num142z2">
    <w:name w:val="WW8Num142z2"/>
    <w:rPr>
      <w:rFonts w:ascii="Wingdings" w:hAnsi="Wingdings"/>
    </w:rPr>
  </w:style>
  <w:style w:type="character" w:customStyle="1" w:styleId="WW8Num142z3">
    <w:name w:val="WW8Num142z3"/>
    <w:rPr>
      <w:rFonts w:ascii="Symbol" w:hAnsi="Symbol"/>
    </w:rPr>
  </w:style>
  <w:style w:type="character" w:customStyle="1" w:styleId="WW8Num147z0">
    <w:name w:val="WW8Num147z0"/>
    <w:rPr>
      <w:rFonts w:ascii="Times New Roman" w:hAnsi="Times New Roman"/>
    </w:rPr>
  </w:style>
  <w:style w:type="character" w:customStyle="1" w:styleId="WW8Num148z0">
    <w:name w:val="WW8Num148z0"/>
    <w:rPr>
      <w:rFonts w:ascii="Wingdings" w:hAnsi="Wingdings"/>
      <w:sz w:val="16"/>
    </w:rPr>
  </w:style>
  <w:style w:type="character" w:customStyle="1" w:styleId="WW8Num150z0">
    <w:name w:val="WW8Num150z0"/>
    <w:rPr>
      <w:rFonts w:ascii="Wingdings" w:hAnsi="Wingdings"/>
      <w:sz w:val="16"/>
    </w:rPr>
  </w:style>
  <w:style w:type="character" w:customStyle="1" w:styleId="WW8Num152z0">
    <w:name w:val="WW8Num152z0"/>
    <w:rPr>
      <w:rFonts w:ascii="Wingdings" w:hAnsi="Wingdings"/>
      <w:sz w:val="16"/>
    </w:rPr>
  </w:style>
  <w:style w:type="character" w:customStyle="1" w:styleId="WW8Num154z0">
    <w:name w:val="WW8Num154z0"/>
    <w:rPr>
      <w:rFonts w:ascii="Wingdings" w:hAnsi="Wingdings"/>
      <w:sz w:val="16"/>
    </w:rPr>
  </w:style>
  <w:style w:type="character" w:customStyle="1" w:styleId="WW8Num156z0">
    <w:name w:val="WW8Num156z0"/>
    <w:rPr>
      <w:rFonts w:ascii="Wingdings" w:hAnsi="Wingdings"/>
    </w:rPr>
  </w:style>
  <w:style w:type="character" w:customStyle="1" w:styleId="WW8Num156z1">
    <w:name w:val="WW8Num156z1"/>
    <w:rPr>
      <w:rFonts w:ascii="Courier New" w:hAnsi="Courier New"/>
    </w:rPr>
  </w:style>
  <w:style w:type="character" w:customStyle="1" w:styleId="WW8Num156z3">
    <w:name w:val="WW8Num156z3"/>
    <w:rPr>
      <w:rFonts w:ascii="Symbol" w:hAnsi="Symbol"/>
    </w:rPr>
  </w:style>
  <w:style w:type="character" w:customStyle="1" w:styleId="WW8Num157z0">
    <w:name w:val="WW8Num157z0"/>
    <w:rPr>
      <w:rFonts w:ascii="Symbol" w:hAnsi="Symbol"/>
    </w:rPr>
  </w:style>
  <w:style w:type="character" w:customStyle="1" w:styleId="WW8Num160z0">
    <w:name w:val="WW8Num160z0"/>
    <w:rPr>
      <w:rFonts w:ascii="Times New Roman" w:hAnsi="Times New Roman"/>
    </w:rPr>
  </w:style>
  <w:style w:type="character" w:customStyle="1" w:styleId="WW8Num160z1">
    <w:name w:val="WW8Num160z1"/>
    <w:rPr>
      <w:rFonts w:ascii="Courier New" w:hAnsi="Courier New"/>
    </w:rPr>
  </w:style>
  <w:style w:type="character" w:customStyle="1" w:styleId="WW8Num160z2">
    <w:name w:val="WW8Num160z2"/>
    <w:rPr>
      <w:rFonts w:ascii="Wingdings" w:hAnsi="Wingdings"/>
    </w:rPr>
  </w:style>
  <w:style w:type="character" w:customStyle="1" w:styleId="WW8Num160z3">
    <w:name w:val="WW8Num160z3"/>
    <w:rPr>
      <w:rFonts w:ascii="Symbol" w:hAnsi="Symbol"/>
    </w:rPr>
  </w:style>
  <w:style w:type="character" w:customStyle="1" w:styleId="WW8Num161z0">
    <w:name w:val="WW8Num161z0"/>
    <w:rPr>
      <w:rFonts w:ascii="Wingdings" w:hAnsi="Wingdings"/>
    </w:rPr>
  </w:style>
  <w:style w:type="character" w:customStyle="1" w:styleId="WW8Num161z1">
    <w:name w:val="WW8Num161z1"/>
    <w:rPr>
      <w:rFonts w:ascii="Courier New" w:hAnsi="Courier New"/>
    </w:rPr>
  </w:style>
  <w:style w:type="character" w:customStyle="1" w:styleId="WW8Num161z3">
    <w:name w:val="WW8Num161z3"/>
    <w:rPr>
      <w:rFonts w:ascii="Symbol" w:hAnsi="Symbol"/>
    </w:rPr>
  </w:style>
  <w:style w:type="character" w:customStyle="1" w:styleId="WW8Num163z0">
    <w:name w:val="WW8Num163z0"/>
    <w:rPr>
      <w:rFonts w:ascii="Wingdings" w:hAnsi="Wingdings"/>
      <w:color w:val="auto"/>
      <w:sz w:val="22"/>
    </w:rPr>
  </w:style>
  <w:style w:type="character" w:customStyle="1" w:styleId="WW8Num163z1">
    <w:name w:val="WW8Num163z1"/>
    <w:rPr>
      <w:rFonts w:ascii="Courier New" w:hAnsi="Courier New"/>
    </w:rPr>
  </w:style>
  <w:style w:type="character" w:customStyle="1" w:styleId="WW8Num163z2">
    <w:name w:val="WW8Num163z2"/>
    <w:rPr>
      <w:rFonts w:ascii="Wingdings" w:hAnsi="Wingdings"/>
    </w:rPr>
  </w:style>
  <w:style w:type="character" w:customStyle="1" w:styleId="WW8Num163z3">
    <w:name w:val="WW8Num163z3"/>
    <w:rPr>
      <w:rFonts w:ascii="Symbol" w:hAnsi="Symbol"/>
    </w:rPr>
  </w:style>
  <w:style w:type="character" w:customStyle="1" w:styleId="WW8Num165z0">
    <w:name w:val="WW8Num165z0"/>
    <w:rPr>
      <w:rFonts w:ascii="Wingdings" w:hAnsi="Wingdings"/>
      <w:sz w:val="16"/>
    </w:rPr>
  </w:style>
  <w:style w:type="character" w:customStyle="1" w:styleId="WW8Num166z0">
    <w:name w:val="WW8Num166z0"/>
    <w:rPr>
      <w:rFonts w:ascii="Times New Roman" w:hAnsi="Times New Roman"/>
    </w:rPr>
  </w:style>
  <w:style w:type="character" w:customStyle="1" w:styleId="WW8Num169z0">
    <w:name w:val="WW8Num169z0"/>
    <w:rPr>
      <w:rFonts w:ascii="Wingdings" w:hAnsi="Wingdings"/>
      <w:sz w:val="16"/>
    </w:rPr>
  </w:style>
  <w:style w:type="character" w:customStyle="1" w:styleId="WW8Num171z0">
    <w:name w:val="WW8Num171z0"/>
    <w:rPr>
      <w:rFonts w:ascii="Wingdings" w:hAnsi="Wingdings"/>
      <w:sz w:val="16"/>
    </w:rPr>
  </w:style>
  <w:style w:type="character" w:customStyle="1" w:styleId="WW8Num172z0">
    <w:name w:val="WW8Num172z0"/>
    <w:rPr>
      <w:rFonts w:ascii="Symbol" w:hAnsi="Symbol"/>
    </w:rPr>
  </w:style>
  <w:style w:type="character" w:customStyle="1" w:styleId="WW8Num174z0">
    <w:name w:val="WW8Num174z0"/>
    <w:rPr>
      <w:rFonts w:ascii="Wingdings" w:hAnsi="Wingdings"/>
      <w:sz w:val="16"/>
    </w:rPr>
  </w:style>
  <w:style w:type="character" w:customStyle="1" w:styleId="WW8Num175z0">
    <w:name w:val="WW8Num175z0"/>
    <w:rPr>
      <w:rFonts w:ascii="Times New Roman" w:hAnsi="Times New Roman"/>
    </w:rPr>
  </w:style>
  <w:style w:type="character" w:customStyle="1" w:styleId="WW8Num177z0">
    <w:name w:val="WW8Num177z0"/>
    <w:rPr>
      <w:rFonts w:ascii="Wingdings" w:hAnsi="Wingdings"/>
      <w:sz w:val="16"/>
    </w:rPr>
  </w:style>
  <w:style w:type="character" w:customStyle="1" w:styleId="WW8Num178z0">
    <w:name w:val="WW8Num178z0"/>
    <w:rPr>
      <w:rFonts w:ascii="Wingdings" w:hAnsi="Wingdings"/>
    </w:rPr>
  </w:style>
  <w:style w:type="character" w:customStyle="1" w:styleId="WW8Num178z1">
    <w:name w:val="WW8Num178z1"/>
    <w:rPr>
      <w:rFonts w:ascii="Courier New" w:hAnsi="Courier New"/>
    </w:rPr>
  </w:style>
  <w:style w:type="character" w:customStyle="1" w:styleId="WW8Num178z3">
    <w:name w:val="WW8Num178z3"/>
    <w:rPr>
      <w:rFonts w:ascii="Symbol" w:hAnsi="Symbol"/>
    </w:rPr>
  </w:style>
  <w:style w:type="character" w:customStyle="1" w:styleId="WW8Num181z0">
    <w:name w:val="WW8Num181z0"/>
    <w:rPr>
      <w:rFonts w:ascii="Wingdings" w:hAnsi="Wingdings"/>
      <w:sz w:val="16"/>
    </w:rPr>
  </w:style>
  <w:style w:type="character" w:customStyle="1" w:styleId="WW8Num182z0">
    <w:name w:val="WW8Num182z0"/>
    <w:rPr>
      <w:rFonts w:ascii="Wingdings" w:hAnsi="Wingdings"/>
      <w:color w:val="auto"/>
      <w:sz w:val="22"/>
    </w:rPr>
  </w:style>
  <w:style w:type="character" w:customStyle="1" w:styleId="WW8Num182z1">
    <w:name w:val="WW8Num182z1"/>
    <w:rPr>
      <w:rFonts w:ascii="Courier New" w:hAnsi="Courier New"/>
    </w:rPr>
  </w:style>
  <w:style w:type="character" w:customStyle="1" w:styleId="WW8Num182z2">
    <w:name w:val="WW8Num182z2"/>
    <w:rPr>
      <w:rFonts w:ascii="Wingdings" w:hAnsi="Wingdings"/>
    </w:rPr>
  </w:style>
  <w:style w:type="character" w:customStyle="1" w:styleId="WW8Num182z3">
    <w:name w:val="WW8Num182z3"/>
    <w:rPr>
      <w:rFonts w:ascii="Symbol" w:hAnsi="Symbol"/>
    </w:rPr>
  </w:style>
  <w:style w:type="character" w:customStyle="1" w:styleId="WW8Num183z0">
    <w:name w:val="WW8Num183z0"/>
    <w:rPr>
      <w:rFonts w:ascii="Times New Roman" w:hAnsi="Times New Roman"/>
    </w:rPr>
  </w:style>
  <w:style w:type="character" w:customStyle="1" w:styleId="WW8Num184z0">
    <w:name w:val="WW8Num184z0"/>
    <w:rPr>
      <w:rFonts w:ascii="Wingdings" w:hAnsi="Wingdings"/>
    </w:rPr>
  </w:style>
  <w:style w:type="character" w:customStyle="1" w:styleId="WW8Num184z1">
    <w:name w:val="WW8Num184z1"/>
    <w:rPr>
      <w:rFonts w:ascii="Courier New" w:hAnsi="Courier New"/>
    </w:rPr>
  </w:style>
  <w:style w:type="character" w:customStyle="1" w:styleId="WW8Num184z3">
    <w:name w:val="WW8Num184z3"/>
    <w:rPr>
      <w:rFonts w:ascii="Symbol" w:hAnsi="Symbol"/>
    </w:rPr>
  </w:style>
  <w:style w:type="character" w:customStyle="1" w:styleId="WW8Num186z0">
    <w:name w:val="WW8Num186z0"/>
    <w:rPr>
      <w:rFonts w:ascii="Wingdings" w:hAnsi="Wingdings"/>
      <w:sz w:val="16"/>
    </w:rPr>
  </w:style>
  <w:style w:type="character" w:customStyle="1" w:styleId="WW8Num192z0">
    <w:name w:val="WW8Num192z0"/>
    <w:rPr>
      <w:rFonts w:ascii="Times New Roman" w:hAnsi="Times New Roman"/>
    </w:rPr>
  </w:style>
  <w:style w:type="character" w:customStyle="1" w:styleId="WW8Num196z0">
    <w:name w:val="WW8Num196z0"/>
    <w:rPr>
      <w:rFonts w:ascii="Wingdings" w:hAnsi="Wingdings"/>
      <w:sz w:val="16"/>
    </w:rPr>
  </w:style>
  <w:style w:type="character" w:customStyle="1" w:styleId="WW8Num197z0">
    <w:name w:val="WW8Num197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Wingdings" w:hAnsi="Wingdings"/>
    </w:rPr>
  </w:style>
  <w:style w:type="character" w:customStyle="1" w:styleId="WW8Num199z1">
    <w:name w:val="WW8Num199z1"/>
    <w:rPr>
      <w:rFonts w:ascii="Courier New" w:hAnsi="Courier New"/>
    </w:rPr>
  </w:style>
  <w:style w:type="character" w:customStyle="1" w:styleId="WW8Num199z3">
    <w:name w:val="WW8Num199z3"/>
    <w:rPr>
      <w:rFonts w:ascii="Symbol" w:hAnsi="Symbol"/>
    </w:rPr>
  </w:style>
  <w:style w:type="character" w:customStyle="1" w:styleId="WW8Num205z0">
    <w:name w:val="WW8Num205z0"/>
    <w:rPr>
      <w:rFonts w:ascii="Wingdings" w:hAnsi="Wingdings"/>
      <w:sz w:val="16"/>
    </w:rPr>
  </w:style>
  <w:style w:type="character" w:customStyle="1" w:styleId="WW8Num206z0">
    <w:name w:val="WW8Num206z0"/>
    <w:rPr>
      <w:rFonts w:ascii="Wingdings" w:hAnsi="Wingdings"/>
      <w:sz w:val="16"/>
    </w:rPr>
  </w:style>
  <w:style w:type="character" w:customStyle="1" w:styleId="WW8NumSt1z0">
    <w:name w:val="WW8NumSt1z0"/>
    <w:rPr>
      <w:rFonts w:ascii="Symbol" w:hAnsi="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Rimandocommento1">
    <w:name w:val="Rimando commento1"/>
    <w:rPr>
      <w:sz w:val="16"/>
    </w:rPr>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paragraph" w:customStyle="1" w:styleId="Intestazione1">
    <w:name w:val="Intestazione1"/>
    <w:basedOn w:val="Normale"/>
    <w:next w:val="Corpodeltesto"/>
    <w:pPr>
      <w:keepNext/>
      <w:spacing w:before="240" w:after="120"/>
    </w:pPr>
    <w:rPr>
      <w:rFonts w:ascii="Arial" w:eastAsia="Lucida Sans Unicode" w:hAnsi="Arial" w:cs="Tahoma"/>
      <w:sz w:val="28"/>
      <w:szCs w:val="28"/>
    </w:rPr>
  </w:style>
  <w:style w:type="paragraph" w:customStyle="1" w:styleId="Corpodeltesto">
    <w:name w:val="Corpo del testo"/>
    <w:basedOn w:val="Normale"/>
    <w:pPr>
      <w:widowControl w:val="0"/>
      <w:spacing w:line="480" w:lineRule="exact"/>
      <w:jc w:val="both"/>
    </w:pPr>
    <w:rPr>
      <w:rFonts w:ascii="Garamond" w:hAnsi="Garamond"/>
      <w:sz w:val="24"/>
    </w:rPr>
  </w:style>
  <w:style w:type="paragraph" w:styleId="Elenco">
    <w:name w:val="List"/>
    <w:basedOn w:val="Corpodel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widowControl w:val="0"/>
      <w:spacing w:line="480" w:lineRule="exact"/>
      <w:ind w:firstLine="708"/>
      <w:jc w:val="both"/>
    </w:pPr>
    <w:rPr>
      <w:rFonts w:ascii="Garamond" w:hAnsi="Garamond"/>
      <w:b/>
      <w:sz w:val="24"/>
    </w:rPr>
  </w:style>
  <w:style w:type="paragraph" w:customStyle="1" w:styleId="Rientrocorpodeltesto21">
    <w:name w:val="Rientro corpo del testo 21"/>
    <w:basedOn w:val="Normale"/>
    <w:pPr>
      <w:widowControl w:val="0"/>
      <w:spacing w:line="480" w:lineRule="exact"/>
      <w:ind w:firstLine="708"/>
      <w:jc w:val="both"/>
    </w:pPr>
    <w:rPr>
      <w:rFonts w:ascii="Garamond" w:hAnsi="Garamond"/>
      <w:sz w:val="24"/>
    </w:rPr>
  </w:style>
  <w:style w:type="paragraph" w:customStyle="1" w:styleId="Rientrocorpodeltesto31">
    <w:name w:val="Rientro corpo del testo 31"/>
    <w:basedOn w:val="Normale"/>
    <w:pPr>
      <w:widowControl w:val="0"/>
      <w:spacing w:line="480" w:lineRule="exact"/>
      <w:ind w:left="360" w:firstLine="348"/>
      <w:jc w:val="both"/>
    </w:pPr>
    <w:rPr>
      <w:rFonts w:ascii="Garamond" w:hAnsi="Garamond"/>
      <w:position w:val="24"/>
      <w:sz w:val="24"/>
    </w:rPr>
  </w:style>
  <w:style w:type="paragraph" w:customStyle="1" w:styleId="Corpodeltesto21">
    <w:name w:val="Corpo del testo 21"/>
    <w:basedOn w:val="Normale"/>
    <w:pPr>
      <w:widowControl w:val="0"/>
      <w:spacing w:line="480" w:lineRule="exact"/>
      <w:jc w:val="both"/>
    </w:pPr>
    <w:rPr>
      <w:rFonts w:ascii="Garamond" w:hAnsi="Garamond"/>
      <w:b/>
      <w:i/>
      <w:position w:val="24"/>
      <w:sz w:val="24"/>
    </w:rPr>
  </w:style>
  <w:style w:type="paragraph" w:customStyle="1" w:styleId="Testonormale1">
    <w:name w:val="Testo normale1"/>
    <w:basedOn w:val="Normale"/>
    <w:rPr>
      <w:rFonts w:ascii="Courier New" w:hAnsi="Courier New"/>
    </w:rPr>
  </w:style>
  <w:style w:type="paragraph" w:customStyle="1" w:styleId="Corpodeltesto31">
    <w:name w:val="Corpo del testo 31"/>
    <w:basedOn w:val="Normale"/>
    <w:pPr>
      <w:spacing w:line="480" w:lineRule="exact"/>
      <w:jc w:val="both"/>
    </w:pPr>
    <w:rPr>
      <w:rFonts w:ascii="Garamond" w:hAnsi="Garamond"/>
      <w:b/>
      <w:sz w:val="24"/>
      <w:u w:val="single"/>
    </w:rPr>
  </w:style>
  <w:style w:type="paragraph" w:customStyle="1" w:styleId="Testocommento1">
    <w:name w:val="Testo commento1"/>
    <w:basedOn w:val="Normale"/>
  </w:style>
  <w:style w:type="paragraph" w:styleId="Testonotaapidipagina">
    <w:name w:val="footnote text"/>
    <w:basedOn w:val="Normale"/>
    <w:semiHidden/>
  </w:style>
  <w:style w:type="paragraph" w:customStyle="1" w:styleId="Testodelblocco1">
    <w:name w:val="Testo del blocco1"/>
    <w:basedOn w:val="Normale"/>
    <w:pPr>
      <w:ind w:left="1134" w:right="567" w:hanging="1134"/>
      <w:jc w:val="both"/>
    </w:pPr>
    <w:rPr>
      <w:sz w:val="22"/>
    </w:rPr>
  </w:style>
  <w:style w:type="paragraph" w:styleId="Testofumetto">
    <w:name w:val="Balloon Text"/>
    <w:basedOn w:val="Normale"/>
    <w:semiHidden/>
    <w:rsid w:val="002000FF"/>
    <w:rPr>
      <w:rFonts w:ascii="Tahoma" w:hAnsi="Tahoma" w:cs="Tahoma"/>
      <w:sz w:val="16"/>
      <w:szCs w:val="16"/>
    </w:rPr>
  </w:style>
  <w:style w:type="paragraph" w:customStyle="1" w:styleId="formul4">
    <w:name w:val="formul_4"/>
    <w:rsid w:val="00146C13"/>
    <w:pPr>
      <w:widowControl w:val="0"/>
      <w:autoSpaceDE w:val="0"/>
      <w:autoSpaceDN w:val="0"/>
      <w:adjustRightInd w:val="0"/>
      <w:jc w:val="both"/>
    </w:pPr>
    <w:rPr>
      <w:sz w:val="22"/>
      <w:szCs w:val="22"/>
      <w:lang w:val="en-US"/>
    </w:rPr>
  </w:style>
  <w:style w:type="paragraph" w:customStyle="1" w:styleId="Default">
    <w:name w:val="Default"/>
    <w:rsid w:val="00AB6BE8"/>
    <w:pPr>
      <w:autoSpaceDE w:val="0"/>
      <w:autoSpaceDN w:val="0"/>
      <w:adjustRightInd w:val="0"/>
    </w:pPr>
    <w:rPr>
      <w:rFonts w:ascii="Calibri" w:hAnsi="Calibri" w:cs="Calibri"/>
      <w:color w:val="000000"/>
      <w:sz w:val="24"/>
      <w:szCs w:val="24"/>
    </w:rPr>
  </w:style>
  <w:style w:type="paragraph" w:styleId="NormaleWeb">
    <w:name w:val="Normal (Web)"/>
    <w:basedOn w:val="Normale"/>
    <w:rsid w:val="00F67E2D"/>
    <w:rPr>
      <w:sz w:val="24"/>
      <w:szCs w:val="24"/>
    </w:rPr>
  </w:style>
  <w:style w:type="paragraph" w:customStyle="1" w:styleId="Corpodeltesto1">
    <w:name w:val="Corpo del testo1"/>
    <w:rsid w:val="00EC69BB"/>
    <w:pPr>
      <w:spacing w:line="360" w:lineRule="auto"/>
      <w:jc w:val="both"/>
    </w:pPr>
    <w:rPr>
      <w:rFonts w:eastAsia="ヒラギノ角ゴ Pro W3"/>
      <w:color w:val="000000"/>
      <w:sz w:val="24"/>
    </w:rPr>
  </w:style>
  <w:style w:type="character" w:customStyle="1" w:styleId="IntestazioneCarattere">
    <w:name w:val="Intestazione Carattere"/>
    <w:basedOn w:val="Carpredefinitoparagrafo"/>
    <w:link w:val="Intestazione"/>
    <w:uiPriority w:val="99"/>
    <w:rsid w:val="00A81CEB"/>
    <w:rPr>
      <w:lang w:eastAsia="ar-SA"/>
    </w:rPr>
  </w:style>
  <w:style w:type="character" w:customStyle="1" w:styleId="PidipaginaCarattere">
    <w:name w:val="Piè di pagina Carattere"/>
    <w:basedOn w:val="Carpredefinitoparagrafo"/>
    <w:link w:val="Pidipagina"/>
    <w:uiPriority w:val="99"/>
    <w:rsid w:val="005E7B93"/>
    <w:rPr>
      <w:lang w:eastAsia="ar-SA"/>
    </w:rPr>
  </w:style>
  <w:style w:type="paragraph" w:styleId="Paragrafoelenco">
    <w:name w:val="List Paragraph"/>
    <w:basedOn w:val="Normale"/>
    <w:uiPriority w:val="34"/>
    <w:qFormat/>
    <w:rsid w:val="00583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1952</Words>
  <Characters>11127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TRIBUNALE DI MASSA-CARRARA</vt:lpstr>
    </vt:vector>
  </TitlesOfParts>
  <Company>Microsoft</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MASSA-CARRARA</dc:title>
  <dc:subject/>
  <dc:creator>Arch.Giovanni Feola</dc:creator>
  <cp:keywords/>
  <cp:lastModifiedBy>Elisa Pinna</cp:lastModifiedBy>
  <cp:revision>11</cp:revision>
  <cp:lastPrinted>2024-02-14T18:43:00Z</cp:lastPrinted>
  <dcterms:created xsi:type="dcterms:W3CDTF">2026-01-25T08:26:00Z</dcterms:created>
  <dcterms:modified xsi:type="dcterms:W3CDTF">2026-02-03T22:29:00Z</dcterms:modified>
</cp:coreProperties>
</file>